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543" w:rsidRDefault="0034185A">
      <w:pPr>
        <w:spacing w:line="360" w:lineRule="auto"/>
        <w:jc w:val="center"/>
        <w:rPr>
          <w:rFonts w:hAnsi="宋体"/>
          <w:b/>
          <w:sz w:val="32"/>
          <w:szCs w:val="32"/>
        </w:rPr>
      </w:pPr>
      <w:r>
        <w:rPr>
          <w:rFonts w:hAnsi="宋体" w:hint="eastAsia"/>
          <w:b/>
          <w:sz w:val="32"/>
          <w:szCs w:val="32"/>
        </w:rPr>
        <w:t>安徽工程大学校园树木移植工程（二期）</w:t>
      </w:r>
      <w:r>
        <w:rPr>
          <w:rFonts w:hAnsi="宋体" w:hint="eastAsia"/>
          <w:b/>
          <w:sz w:val="32"/>
          <w:szCs w:val="32"/>
        </w:rPr>
        <w:t>招标</w:t>
      </w:r>
      <w:r>
        <w:rPr>
          <w:rFonts w:hAnsi="宋体" w:hint="eastAsia"/>
          <w:b/>
          <w:sz w:val="32"/>
          <w:szCs w:val="32"/>
        </w:rPr>
        <w:t>要求</w:t>
      </w:r>
    </w:p>
    <w:p w:rsidR="002A0543" w:rsidRDefault="002A0543">
      <w:pPr>
        <w:spacing w:line="360" w:lineRule="auto"/>
        <w:jc w:val="center"/>
        <w:rPr>
          <w:b/>
          <w:sz w:val="32"/>
          <w:szCs w:val="32"/>
        </w:rPr>
      </w:pPr>
    </w:p>
    <w:p w:rsidR="002A0543" w:rsidRDefault="0034185A">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根据学校要求</w:t>
      </w:r>
      <w:r>
        <w:rPr>
          <w:rFonts w:ascii="仿宋" w:eastAsia="仿宋" w:hAnsi="仿宋" w:hint="eastAsia"/>
          <w:sz w:val="28"/>
          <w:szCs w:val="28"/>
        </w:rPr>
        <w:t>与十四五建设规划</w:t>
      </w:r>
      <w:r>
        <w:rPr>
          <w:rFonts w:ascii="仿宋" w:eastAsia="仿宋" w:hAnsi="仿宋" w:hint="eastAsia"/>
          <w:sz w:val="28"/>
          <w:szCs w:val="28"/>
        </w:rPr>
        <w:t>，</w:t>
      </w:r>
      <w:r>
        <w:rPr>
          <w:rFonts w:ascii="仿宋" w:eastAsia="仿宋" w:hAnsi="仿宋" w:hint="eastAsia"/>
          <w:sz w:val="28"/>
          <w:szCs w:val="28"/>
        </w:rPr>
        <w:t>拟对安徽工程大学校园内部分树木进行移植工作</w:t>
      </w:r>
      <w:r>
        <w:rPr>
          <w:rFonts w:ascii="仿宋" w:eastAsia="仿宋" w:hAnsi="仿宋" w:hint="eastAsia"/>
          <w:sz w:val="28"/>
          <w:szCs w:val="28"/>
        </w:rPr>
        <w:t>，现就施工进行招标，具体要求如下：</w:t>
      </w:r>
    </w:p>
    <w:p w:rsidR="002A0543" w:rsidRDefault="0034185A">
      <w:pPr>
        <w:spacing w:line="500" w:lineRule="exact"/>
        <w:ind w:firstLine="200"/>
        <w:jc w:val="left"/>
        <w:rPr>
          <w:rFonts w:ascii="仿宋" w:eastAsia="仿宋" w:hAnsi="仿宋"/>
          <w:b/>
          <w:sz w:val="28"/>
          <w:szCs w:val="28"/>
        </w:rPr>
      </w:pPr>
      <w:r>
        <w:rPr>
          <w:rFonts w:ascii="仿宋" w:eastAsia="仿宋" w:hAnsi="仿宋" w:hint="eastAsia"/>
          <w:b/>
          <w:sz w:val="28"/>
          <w:szCs w:val="28"/>
        </w:rPr>
        <w:t>一、招标内容</w:t>
      </w:r>
    </w:p>
    <w:p w:rsidR="002A0543" w:rsidRDefault="0034185A">
      <w:pPr>
        <w:spacing w:line="500" w:lineRule="exact"/>
        <w:ind w:firstLineChars="200" w:firstLine="560"/>
        <w:jc w:val="left"/>
        <w:rPr>
          <w:rFonts w:ascii="仿宋" w:eastAsia="仿宋" w:hAnsi="仿宋" w:cs="仿宋"/>
          <w:sz w:val="24"/>
        </w:rPr>
      </w:pPr>
      <w:r>
        <w:rPr>
          <w:rFonts w:ascii="仿宋" w:eastAsia="仿宋" w:hAnsi="仿宋" w:hint="eastAsia"/>
          <w:sz w:val="28"/>
          <w:szCs w:val="28"/>
        </w:rPr>
        <w:t>安徽工程大学校园内化环</w:t>
      </w:r>
      <w:r>
        <w:rPr>
          <w:rFonts w:ascii="仿宋" w:eastAsia="仿宋" w:hAnsi="仿宋" w:hint="eastAsia"/>
          <w:sz w:val="28"/>
          <w:szCs w:val="28"/>
        </w:rPr>
        <w:t>2#</w:t>
      </w:r>
      <w:r>
        <w:rPr>
          <w:rFonts w:ascii="仿宋" w:eastAsia="仿宋" w:hAnsi="仿宋" w:hint="eastAsia"/>
          <w:sz w:val="28"/>
          <w:szCs w:val="28"/>
        </w:rPr>
        <w:t>实验楼周边、</w:t>
      </w:r>
      <w:proofErr w:type="gramStart"/>
      <w:r>
        <w:rPr>
          <w:rFonts w:ascii="仿宋" w:eastAsia="仿宋" w:hAnsi="仿宋" w:hint="eastAsia"/>
          <w:sz w:val="28"/>
          <w:szCs w:val="28"/>
        </w:rPr>
        <w:t>一</w:t>
      </w:r>
      <w:proofErr w:type="gramEnd"/>
      <w:r>
        <w:rPr>
          <w:rFonts w:ascii="仿宋" w:eastAsia="仿宋" w:hAnsi="仿宋" w:hint="eastAsia"/>
          <w:sz w:val="28"/>
          <w:szCs w:val="28"/>
        </w:rPr>
        <w:t>食堂周边、老图书馆北边</w:t>
      </w:r>
      <w:r>
        <w:rPr>
          <w:rFonts w:ascii="仿宋" w:eastAsia="仿宋" w:hAnsi="仿宋" w:cs="仿宋" w:hint="eastAsia"/>
          <w:color w:val="000000"/>
          <w:kern w:val="0"/>
          <w:sz w:val="28"/>
          <w:szCs w:val="28"/>
        </w:rPr>
        <w:t>等地点共计</w:t>
      </w:r>
      <w:proofErr w:type="gramStart"/>
      <w:r>
        <w:rPr>
          <w:rFonts w:ascii="仿宋" w:eastAsia="仿宋" w:hAnsi="仿宋" w:cs="仿宋" w:hint="eastAsia"/>
          <w:color w:val="000000"/>
          <w:kern w:val="0"/>
          <w:sz w:val="28"/>
          <w:szCs w:val="28"/>
        </w:rPr>
        <w:t>21</w:t>
      </w:r>
      <w:r w:rsidR="00C4378B">
        <w:rPr>
          <w:rFonts w:ascii="仿宋" w:eastAsia="仿宋" w:hAnsi="仿宋" w:cs="仿宋"/>
          <w:color w:val="000000"/>
          <w:kern w:val="0"/>
          <w:sz w:val="28"/>
          <w:szCs w:val="28"/>
        </w:rPr>
        <w:t>7</w:t>
      </w:r>
      <w:bookmarkStart w:id="0" w:name="_GoBack"/>
      <w:bookmarkEnd w:id="0"/>
      <w:r>
        <w:rPr>
          <w:rFonts w:ascii="仿宋" w:eastAsia="仿宋" w:hAnsi="仿宋" w:cs="仿宋" w:hint="eastAsia"/>
          <w:color w:val="000000"/>
          <w:kern w:val="0"/>
          <w:sz w:val="28"/>
          <w:szCs w:val="28"/>
        </w:rPr>
        <w:t>棵树需移植</w:t>
      </w:r>
      <w:proofErr w:type="gramEnd"/>
      <w:r>
        <w:rPr>
          <w:rFonts w:ascii="仿宋" w:eastAsia="仿宋" w:hAnsi="仿宋" w:cs="仿宋" w:hint="eastAsia"/>
          <w:color w:val="000000"/>
          <w:kern w:val="0"/>
          <w:sz w:val="28"/>
          <w:szCs w:val="28"/>
        </w:rPr>
        <w:t>至校内其他地点</w:t>
      </w:r>
      <w:r>
        <w:rPr>
          <w:rFonts w:ascii="仿宋" w:eastAsia="仿宋" w:hAnsi="仿宋" w:cs="仿宋" w:hint="eastAsia"/>
          <w:sz w:val="28"/>
          <w:szCs w:val="28"/>
        </w:rPr>
        <w:t>。</w:t>
      </w:r>
    </w:p>
    <w:p w:rsidR="002A0543" w:rsidRDefault="0034185A">
      <w:pPr>
        <w:spacing w:line="500" w:lineRule="exact"/>
        <w:ind w:firstLine="200"/>
        <w:jc w:val="left"/>
        <w:rPr>
          <w:rFonts w:ascii="仿宋" w:eastAsia="仿宋" w:hAnsi="仿宋"/>
          <w:b/>
          <w:sz w:val="28"/>
          <w:szCs w:val="28"/>
        </w:rPr>
      </w:pPr>
      <w:r>
        <w:rPr>
          <w:rFonts w:ascii="仿宋" w:eastAsia="仿宋" w:hAnsi="仿宋" w:hint="eastAsia"/>
          <w:b/>
          <w:sz w:val="28"/>
          <w:szCs w:val="28"/>
        </w:rPr>
        <w:t>二、投标人资质要求</w:t>
      </w:r>
    </w:p>
    <w:p w:rsidR="002A0543" w:rsidRDefault="0034185A">
      <w:pPr>
        <w:widowControl/>
        <w:spacing w:line="5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截止开标之日起三年内曾被政府管理部门（含重点局）处罚或被招标人列为黑名单的单位或与招标人有仲裁纠纷的不得参与本次招标。如隐瞒真相而中标，招标人有权取消其中标资格，所产生的一切损失由投标人承担。</w:t>
      </w:r>
    </w:p>
    <w:p w:rsidR="002A0543" w:rsidRDefault="0034185A">
      <w:pPr>
        <w:widowControl/>
        <w:spacing w:line="5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、本工程禁止挂靠投标，一经发现，立即取消投标资格，并列入招标人黑名单。</w:t>
      </w:r>
    </w:p>
    <w:p w:rsidR="002A0543" w:rsidRDefault="0034185A">
      <w:pPr>
        <w:widowControl/>
        <w:spacing w:line="50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、本项目不接受联合体投标。</w:t>
      </w:r>
    </w:p>
    <w:p w:rsidR="002A0543" w:rsidRDefault="0034185A">
      <w:pPr>
        <w:widowControl/>
        <w:spacing w:line="500" w:lineRule="exact"/>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、投标人为园林绿化专业公司，具备园林绿化工程资质（主营）。</w:t>
      </w:r>
    </w:p>
    <w:p w:rsidR="002A0543" w:rsidRDefault="0034185A">
      <w:pPr>
        <w:widowControl/>
        <w:spacing w:line="500" w:lineRule="exact"/>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、提供近</w:t>
      </w:r>
      <w:r>
        <w:rPr>
          <w:rFonts w:ascii="仿宋" w:eastAsia="仿宋" w:hAnsi="仿宋" w:hint="eastAsia"/>
          <w:sz w:val="28"/>
          <w:szCs w:val="28"/>
        </w:rPr>
        <w:t>3</w:t>
      </w:r>
      <w:r>
        <w:rPr>
          <w:rFonts w:ascii="仿宋" w:eastAsia="仿宋" w:hAnsi="仿宋" w:hint="eastAsia"/>
          <w:sz w:val="28"/>
          <w:szCs w:val="28"/>
        </w:rPr>
        <w:t>年</w:t>
      </w:r>
      <w:r>
        <w:rPr>
          <w:rFonts w:ascii="仿宋" w:eastAsia="仿宋" w:hAnsi="仿宋" w:hint="eastAsia"/>
          <w:sz w:val="28"/>
          <w:szCs w:val="28"/>
        </w:rPr>
        <w:t>3</w:t>
      </w:r>
      <w:r>
        <w:rPr>
          <w:rFonts w:ascii="仿宋" w:eastAsia="仿宋" w:hAnsi="仿宋" w:hint="eastAsia"/>
          <w:sz w:val="28"/>
          <w:szCs w:val="28"/>
        </w:rPr>
        <w:t>项绿化工程合同。</w:t>
      </w:r>
    </w:p>
    <w:p w:rsidR="002A0543" w:rsidRDefault="0034185A">
      <w:pPr>
        <w:spacing w:line="500" w:lineRule="exact"/>
        <w:ind w:firstLine="200"/>
        <w:jc w:val="left"/>
        <w:rPr>
          <w:rFonts w:ascii="仿宋" w:eastAsia="仿宋" w:hAnsi="仿宋"/>
          <w:b/>
          <w:sz w:val="28"/>
          <w:szCs w:val="28"/>
        </w:rPr>
      </w:pPr>
      <w:r>
        <w:rPr>
          <w:rFonts w:ascii="仿宋" w:eastAsia="仿宋" w:hAnsi="仿宋" w:hint="eastAsia"/>
          <w:b/>
          <w:sz w:val="28"/>
          <w:szCs w:val="28"/>
        </w:rPr>
        <w:t>三、工程验收</w:t>
      </w:r>
    </w:p>
    <w:p w:rsidR="002A0543" w:rsidRDefault="0034185A">
      <w:pPr>
        <w:tabs>
          <w:tab w:val="left" w:pos="0"/>
          <w:tab w:val="left" w:pos="210"/>
          <w:tab w:val="left" w:pos="315"/>
          <w:tab w:val="left" w:pos="360"/>
          <w:tab w:val="left" w:pos="945"/>
        </w:tabs>
        <w:spacing w:line="5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、按照国家现行标准、规程、规范执行</w:t>
      </w:r>
      <w:r>
        <w:rPr>
          <w:rFonts w:ascii="仿宋" w:eastAsia="仿宋" w:hAnsi="仿宋" w:hint="eastAsia"/>
          <w:sz w:val="28"/>
          <w:szCs w:val="28"/>
        </w:rPr>
        <w:t>。</w:t>
      </w:r>
    </w:p>
    <w:p w:rsidR="002A0543" w:rsidRDefault="0034185A">
      <w:pPr>
        <w:tabs>
          <w:tab w:val="left" w:pos="0"/>
          <w:tab w:val="left" w:pos="210"/>
          <w:tab w:val="left" w:pos="315"/>
          <w:tab w:val="left" w:pos="360"/>
          <w:tab w:val="left" w:pos="945"/>
        </w:tabs>
        <w:spacing w:line="5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、所有隐蔽工程、材料进场必须由我校相关人员现场验收合格后方可进入下道工序的施工，否则不予支付工程款。</w:t>
      </w:r>
    </w:p>
    <w:p w:rsidR="002A0543" w:rsidRDefault="0034185A">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、按规范进行竣工资料整理和报验。</w:t>
      </w:r>
    </w:p>
    <w:p w:rsidR="002A0543" w:rsidRDefault="0034185A">
      <w:pPr>
        <w:spacing w:line="500" w:lineRule="exact"/>
        <w:ind w:firstLine="200"/>
        <w:jc w:val="left"/>
        <w:rPr>
          <w:rFonts w:ascii="仿宋" w:eastAsia="仿宋" w:hAnsi="仿宋"/>
          <w:b/>
          <w:sz w:val="28"/>
          <w:szCs w:val="28"/>
        </w:rPr>
      </w:pPr>
      <w:r>
        <w:rPr>
          <w:rFonts w:ascii="仿宋" w:eastAsia="仿宋" w:hAnsi="仿宋" w:hint="eastAsia"/>
          <w:b/>
          <w:sz w:val="28"/>
          <w:szCs w:val="28"/>
        </w:rPr>
        <w:t>四、投标报价</w:t>
      </w:r>
    </w:p>
    <w:p w:rsidR="002A0543" w:rsidRDefault="0034185A">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、本次项目控制价为</w:t>
      </w:r>
      <w:r>
        <w:rPr>
          <w:rFonts w:ascii="仿宋" w:eastAsia="仿宋" w:hAnsi="仿宋" w:hint="eastAsia"/>
          <w:sz w:val="28"/>
          <w:szCs w:val="28"/>
        </w:rPr>
        <w:t>9.5</w:t>
      </w:r>
      <w:r>
        <w:rPr>
          <w:rFonts w:ascii="仿宋" w:eastAsia="仿宋" w:hAnsi="仿宋" w:hint="eastAsia"/>
          <w:sz w:val="28"/>
          <w:szCs w:val="28"/>
        </w:rPr>
        <w:t>万元，本次报价采用综合评标法；</w:t>
      </w:r>
    </w:p>
    <w:p w:rsidR="002A0543" w:rsidRDefault="0034185A">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投标人应根据本工程特点，按芜湖市建筑市场行情和企业自身情况测算本工程施工及后续服务工作的所有费用，报单价及总价，疫情防控费用及车辆进出校园所产生的停车费用包含投标报价中。如</w:t>
      </w:r>
      <w:r>
        <w:rPr>
          <w:rFonts w:ascii="仿宋" w:eastAsia="仿宋" w:hAnsi="仿宋" w:hint="eastAsia"/>
          <w:sz w:val="28"/>
          <w:szCs w:val="28"/>
        </w:rPr>
        <w:lastRenderedPageBreak/>
        <w:t>中标后中标人放弃中标资格，招标人有权将其列入黑名单。</w:t>
      </w:r>
    </w:p>
    <w:p w:rsidR="002A0543" w:rsidRDefault="0034185A">
      <w:pPr>
        <w:tabs>
          <w:tab w:val="left" w:pos="0"/>
        </w:tabs>
        <w:spacing w:line="500" w:lineRule="exact"/>
        <w:ind w:firstLine="200"/>
        <w:jc w:val="left"/>
        <w:rPr>
          <w:rFonts w:ascii="仿宋" w:eastAsia="仿宋" w:hAnsi="仿宋"/>
          <w:b/>
          <w:sz w:val="28"/>
          <w:szCs w:val="28"/>
        </w:rPr>
      </w:pPr>
      <w:r>
        <w:rPr>
          <w:rFonts w:ascii="仿宋" w:eastAsia="仿宋" w:hAnsi="仿宋" w:hint="eastAsia"/>
          <w:b/>
          <w:sz w:val="28"/>
          <w:szCs w:val="28"/>
        </w:rPr>
        <w:t>五、</w:t>
      </w:r>
      <w:r>
        <w:rPr>
          <w:rFonts w:ascii="仿宋" w:eastAsia="仿宋" w:hAnsi="仿宋" w:hint="eastAsia"/>
          <w:b/>
          <w:bCs/>
          <w:kern w:val="0"/>
          <w:sz w:val="28"/>
          <w:szCs w:val="28"/>
        </w:rPr>
        <w:t>工期</w:t>
      </w:r>
    </w:p>
    <w:p w:rsidR="002A0543" w:rsidRDefault="0034185A">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合同工期：为</w:t>
      </w:r>
      <w:r>
        <w:rPr>
          <w:rFonts w:ascii="仿宋" w:eastAsia="仿宋" w:hAnsi="仿宋" w:hint="eastAsia"/>
          <w:sz w:val="28"/>
          <w:szCs w:val="28"/>
        </w:rPr>
        <w:t>30</w:t>
      </w:r>
      <w:r>
        <w:rPr>
          <w:rFonts w:ascii="仿宋" w:eastAsia="仿宋" w:hAnsi="仿宋" w:hint="eastAsia"/>
          <w:sz w:val="28"/>
          <w:szCs w:val="28"/>
        </w:rPr>
        <w:t>日历天，自开</w:t>
      </w:r>
      <w:proofErr w:type="gramStart"/>
      <w:r>
        <w:rPr>
          <w:rFonts w:ascii="仿宋" w:eastAsia="仿宋" w:hAnsi="仿宋" w:hint="eastAsia"/>
          <w:sz w:val="28"/>
          <w:szCs w:val="28"/>
        </w:rPr>
        <w:t>工令</w:t>
      </w:r>
      <w:proofErr w:type="gramEnd"/>
      <w:r>
        <w:rPr>
          <w:rFonts w:ascii="仿宋" w:eastAsia="仿宋" w:hAnsi="仿宋" w:hint="eastAsia"/>
          <w:sz w:val="28"/>
          <w:szCs w:val="28"/>
        </w:rPr>
        <w:t>发出之日起计算。</w:t>
      </w:r>
    </w:p>
    <w:p w:rsidR="002A0543" w:rsidRDefault="0034185A">
      <w:pPr>
        <w:spacing w:line="500" w:lineRule="exact"/>
        <w:ind w:firstLineChars="50" w:firstLine="141"/>
        <w:jc w:val="left"/>
        <w:rPr>
          <w:rFonts w:ascii="仿宋" w:eastAsia="仿宋" w:hAnsi="仿宋"/>
          <w:b/>
          <w:sz w:val="28"/>
          <w:szCs w:val="28"/>
        </w:rPr>
      </w:pPr>
      <w:r>
        <w:rPr>
          <w:rFonts w:ascii="仿宋" w:eastAsia="仿宋" w:hAnsi="仿宋" w:hint="eastAsia"/>
          <w:b/>
          <w:sz w:val="28"/>
          <w:szCs w:val="28"/>
        </w:rPr>
        <w:t>六、付款方式</w:t>
      </w:r>
    </w:p>
    <w:p w:rsidR="002A0543" w:rsidRDefault="0034185A">
      <w:pPr>
        <w:tabs>
          <w:tab w:val="left" w:pos="425"/>
        </w:tabs>
        <w:spacing w:line="500" w:lineRule="exact"/>
        <w:ind w:firstLine="200"/>
        <w:jc w:val="left"/>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w:t>
      </w:r>
      <w:r>
        <w:rPr>
          <w:rFonts w:ascii="仿宋" w:eastAsia="仿宋" w:hAnsi="仿宋" w:hint="eastAsia"/>
          <w:bCs/>
          <w:sz w:val="28"/>
          <w:szCs w:val="28"/>
        </w:rPr>
        <w:t>验收合格支付至合同价的</w:t>
      </w:r>
      <w:r>
        <w:rPr>
          <w:rFonts w:ascii="仿宋" w:eastAsia="仿宋" w:hAnsi="仿宋" w:hint="eastAsia"/>
          <w:bCs/>
          <w:sz w:val="28"/>
          <w:szCs w:val="28"/>
        </w:rPr>
        <w:t>70</w:t>
      </w:r>
      <w:r>
        <w:rPr>
          <w:rFonts w:ascii="仿宋" w:eastAsia="仿宋" w:hAnsi="仿宋" w:hint="eastAsia"/>
          <w:bCs/>
          <w:sz w:val="28"/>
          <w:szCs w:val="28"/>
        </w:rPr>
        <w:t>%</w:t>
      </w:r>
      <w:r>
        <w:rPr>
          <w:rFonts w:ascii="仿宋" w:eastAsia="仿宋" w:hAnsi="仿宋" w:hint="eastAsia"/>
          <w:bCs/>
          <w:sz w:val="28"/>
          <w:szCs w:val="28"/>
        </w:rPr>
        <w:t>（不含预留金）；</w:t>
      </w:r>
    </w:p>
    <w:p w:rsidR="002A0543" w:rsidRDefault="0034185A">
      <w:pPr>
        <w:tabs>
          <w:tab w:val="left" w:pos="425"/>
        </w:tabs>
        <w:spacing w:line="500" w:lineRule="exact"/>
        <w:ind w:firstLine="200"/>
        <w:jc w:val="left"/>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、有审计环节</w:t>
      </w:r>
      <w:r>
        <w:rPr>
          <w:rFonts w:ascii="仿宋" w:eastAsia="仿宋" w:hAnsi="仿宋" w:hint="eastAsia"/>
          <w:bCs/>
          <w:sz w:val="28"/>
          <w:szCs w:val="28"/>
        </w:rPr>
        <w:t>，质保</w:t>
      </w:r>
      <w:r>
        <w:rPr>
          <w:rFonts w:ascii="仿宋" w:eastAsia="仿宋" w:hAnsi="仿宋" w:hint="eastAsia"/>
          <w:bCs/>
          <w:sz w:val="28"/>
          <w:szCs w:val="28"/>
        </w:rPr>
        <w:t>养护</w:t>
      </w:r>
      <w:r>
        <w:rPr>
          <w:rFonts w:ascii="仿宋" w:eastAsia="仿宋" w:hAnsi="仿宋" w:hint="eastAsia"/>
          <w:bCs/>
          <w:sz w:val="28"/>
          <w:szCs w:val="28"/>
        </w:rPr>
        <w:t>期限</w:t>
      </w:r>
      <w:r>
        <w:rPr>
          <w:rFonts w:ascii="仿宋" w:eastAsia="仿宋" w:hAnsi="仿宋" w:hint="eastAsia"/>
          <w:bCs/>
          <w:sz w:val="28"/>
          <w:szCs w:val="28"/>
        </w:rPr>
        <w:t>12</w:t>
      </w:r>
      <w:r>
        <w:rPr>
          <w:rFonts w:ascii="仿宋" w:eastAsia="仿宋" w:hAnsi="仿宋" w:hint="eastAsia"/>
          <w:bCs/>
          <w:sz w:val="28"/>
          <w:szCs w:val="28"/>
        </w:rPr>
        <w:t>个月，到期</w:t>
      </w:r>
      <w:r>
        <w:rPr>
          <w:rFonts w:ascii="仿宋" w:eastAsia="仿宋" w:hAnsi="仿宋" w:hint="eastAsia"/>
          <w:bCs/>
          <w:sz w:val="28"/>
          <w:szCs w:val="28"/>
        </w:rPr>
        <w:t>树木存活率无</w:t>
      </w:r>
      <w:r>
        <w:rPr>
          <w:rFonts w:ascii="仿宋" w:eastAsia="仿宋" w:hAnsi="仿宋" w:hint="eastAsia"/>
          <w:bCs/>
          <w:sz w:val="28"/>
          <w:szCs w:val="28"/>
        </w:rPr>
        <w:t>问题</w:t>
      </w:r>
      <w:r>
        <w:rPr>
          <w:rFonts w:ascii="仿宋" w:eastAsia="仿宋" w:hAnsi="仿宋" w:hint="eastAsia"/>
          <w:bCs/>
          <w:sz w:val="28"/>
          <w:szCs w:val="28"/>
        </w:rPr>
        <w:t>一次付清审计价格的</w:t>
      </w:r>
      <w:r>
        <w:rPr>
          <w:rFonts w:ascii="仿宋" w:eastAsia="仿宋" w:hAnsi="仿宋" w:hint="eastAsia"/>
          <w:bCs/>
          <w:sz w:val="28"/>
          <w:szCs w:val="28"/>
        </w:rPr>
        <w:t>100%</w:t>
      </w:r>
      <w:r>
        <w:rPr>
          <w:rFonts w:ascii="仿宋" w:eastAsia="仿宋" w:hAnsi="仿宋" w:hint="eastAsia"/>
          <w:bCs/>
          <w:sz w:val="28"/>
          <w:szCs w:val="28"/>
        </w:rPr>
        <w:t>。</w:t>
      </w:r>
    </w:p>
    <w:p w:rsidR="002A0543" w:rsidRDefault="0034185A">
      <w:pPr>
        <w:tabs>
          <w:tab w:val="left" w:pos="425"/>
        </w:tabs>
        <w:spacing w:line="500" w:lineRule="exact"/>
        <w:ind w:firstLine="200"/>
        <w:jc w:val="left"/>
        <w:rPr>
          <w:rFonts w:ascii="仿宋" w:eastAsia="仿宋" w:hAnsi="仿宋"/>
          <w:b/>
          <w:sz w:val="28"/>
          <w:szCs w:val="28"/>
        </w:rPr>
      </w:pPr>
      <w:r>
        <w:rPr>
          <w:rFonts w:ascii="仿宋" w:eastAsia="仿宋" w:hAnsi="仿宋" w:hint="eastAsia"/>
          <w:b/>
          <w:sz w:val="28"/>
          <w:szCs w:val="28"/>
        </w:rPr>
        <w:t>七、</w:t>
      </w:r>
      <w:r>
        <w:rPr>
          <w:rFonts w:ascii="仿宋" w:eastAsia="仿宋" w:hAnsi="仿宋" w:hint="eastAsia"/>
          <w:b/>
          <w:bCs/>
          <w:kern w:val="0"/>
          <w:sz w:val="28"/>
          <w:szCs w:val="28"/>
        </w:rPr>
        <w:t>评审方式</w:t>
      </w:r>
    </w:p>
    <w:p w:rsidR="002A0543" w:rsidRDefault="0034185A">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1</w:t>
      </w:r>
      <w:r>
        <w:rPr>
          <w:rFonts w:ascii="仿宋" w:eastAsia="仿宋" w:hAnsi="仿宋" w:cs="仿宋" w:hint="eastAsia"/>
          <w:b/>
          <w:sz w:val="28"/>
          <w:szCs w:val="28"/>
        </w:rPr>
        <w:t>、评审分值分布</w:t>
      </w:r>
      <w:r>
        <w:rPr>
          <w:rFonts w:ascii="仿宋" w:eastAsia="仿宋" w:hAnsi="仿宋" w:cs="仿宋" w:hint="eastAsia"/>
          <w:b/>
          <w:sz w:val="28"/>
          <w:szCs w:val="28"/>
        </w:rPr>
        <w:t>(</w:t>
      </w:r>
      <w:r>
        <w:rPr>
          <w:rFonts w:ascii="仿宋" w:eastAsia="仿宋" w:hAnsi="仿宋" w:cs="仿宋" w:hint="eastAsia"/>
          <w:b/>
          <w:sz w:val="28"/>
          <w:szCs w:val="28"/>
        </w:rPr>
        <w:t>满分</w:t>
      </w:r>
      <w:r>
        <w:rPr>
          <w:rFonts w:ascii="仿宋" w:eastAsia="仿宋" w:hAnsi="仿宋" w:cs="仿宋" w:hint="eastAsia"/>
          <w:b/>
          <w:sz w:val="28"/>
          <w:szCs w:val="28"/>
        </w:rPr>
        <w:t>100</w:t>
      </w:r>
      <w:r>
        <w:rPr>
          <w:rFonts w:ascii="仿宋" w:eastAsia="仿宋" w:hAnsi="仿宋" w:cs="仿宋" w:hint="eastAsia"/>
          <w:b/>
          <w:sz w:val="28"/>
          <w:szCs w:val="28"/>
        </w:rPr>
        <w:t>分</w:t>
      </w:r>
      <w:r>
        <w:rPr>
          <w:rFonts w:ascii="仿宋" w:eastAsia="仿宋" w:hAnsi="仿宋" w:cs="仿宋" w:hint="eastAsia"/>
          <w:b/>
          <w:sz w:val="28"/>
          <w:szCs w:val="28"/>
        </w:rPr>
        <w:t>)</w:t>
      </w:r>
    </w:p>
    <w:p w:rsidR="002A0543" w:rsidRDefault="0034185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技术资信分（</w:t>
      </w:r>
      <w:r>
        <w:rPr>
          <w:rFonts w:ascii="仿宋" w:eastAsia="仿宋" w:hAnsi="仿宋" w:cs="仿宋" w:hint="eastAsia"/>
          <w:sz w:val="28"/>
          <w:szCs w:val="28"/>
        </w:rPr>
        <w:t>70</w:t>
      </w:r>
      <w:r>
        <w:rPr>
          <w:rFonts w:ascii="仿宋" w:eastAsia="仿宋" w:hAnsi="仿宋" w:cs="仿宋" w:hint="eastAsia"/>
          <w:sz w:val="28"/>
          <w:szCs w:val="28"/>
        </w:rPr>
        <w:t>分）</w:t>
      </w:r>
    </w:p>
    <w:p w:rsidR="002A0543" w:rsidRDefault="0034185A">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投标报价（</w:t>
      </w:r>
      <w:r>
        <w:rPr>
          <w:rFonts w:ascii="仿宋" w:eastAsia="仿宋" w:hAnsi="仿宋" w:cs="仿宋" w:hint="eastAsia"/>
          <w:sz w:val="28"/>
          <w:szCs w:val="28"/>
        </w:rPr>
        <w:t>30</w:t>
      </w:r>
      <w:r>
        <w:rPr>
          <w:rFonts w:ascii="仿宋" w:eastAsia="仿宋" w:hAnsi="仿宋" w:cs="仿宋" w:hint="eastAsia"/>
          <w:sz w:val="28"/>
          <w:szCs w:val="28"/>
        </w:rPr>
        <w:t>分）</w:t>
      </w:r>
    </w:p>
    <w:p w:rsidR="002A0543" w:rsidRDefault="0034185A">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2</w:t>
      </w:r>
      <w:r>
        <w:rPr>
          <w:rFonts w:ascii="仿宋" w:eastAsia="仿宋" w:hAnsi="仿宋" w:cs="仿宋" w:hint="eastAsia"/>
          <w:b/>
          <w:sz w:val="28"/>
          <w:szCs w:val="28"/>
        </w:rPr>
        <w:t>、评审</w:t>
      </w:r>
      <w:r>
        <w:rPr>
          <w:rFonts w:ascii="仿宋" w:eastAsia="仿宋" w:hAnsi="仿宋" w:cs="仿宋" w:hint="eastAsia"/>
          <w:b/>
          <w:sz w:val="28"/>
          <w:szCs w:val="28"/>
        </w:rPr>
        <w:t>标准</w:t>
      </w:r>
    </w:p>
    <w:tbl>
      <w:tblPr>
        <w:tblW w:w="8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5"/>
        <w:gridCol w:w="1329"/>
        <w:gridCol w:w="5502"/>
        <w:gridCol w:w="606"/>
      </w:tblGrid>
      <w:tr w:rsidR="002A0543">
        <w:trPr>
          <w:trHeight w:val="454"/>
          <w:jc w:val="center"/>
        </w:trPr>
        <w:tc>
          <w:tcPr>
            <w:tcW w:w="1345" w:type="dxa"/>
            <w:vAlign w:val="center"/>
          </w:tcPr>
          <w:p w:rsidR="002A0543" w:rsidRDefault="0034185A">
            <w:pPr>
              <w:spacing w:line="440" w:lineRule="exact"/>
              <w:jc w:val="center"/>
              <w:rPr>
                <w:rFonts w:ascii="宋体" w:hAnsi="宋体" w:cs="仿宋"/>
                <w:b/>
                <w:color w:val="000000"/>
                <w:sz w:val="24"/>
              </w:rPr>
            </w:pPr>
            <w:r>
              <w:rPr>
                <w:rFonts w:ascii="宋体" w:hAnsi="宋体" w:cs="仿宋" w:hint="eastAsia"/>
                <w:b/>
                <w:kern w:val="0"/>
                <w:sz w:val="24"/>
              </w:rPr>
              <w:t>评审项</w:t>
            </w:r>
          </w:p>
        </w:tc>
        <w:tc>
          <w:tcPr>
            <w:tcW w:w="1329" w:type="dxa"/>
            <w:vAlign w:val="center"/>
          </w:tcPr>
          <w:p w:rsidR="002A0543" w:rsidRDefault="0034185A">
            <w:pPr>
              <w:spacing w:line="440" w:lineRule="exact"/>
              <w:jc w:val="center"/>
              <w:rPr>
                <w:rFonts w:ascii="宋体" w:hAnsi="宋体" w:cs="仿宋"/>
                <w:b/>
                <w:color w:val="000000"/>
                <w:sz w:val="24"/>
              </w:rPr>
            </w:pPr>
            <w:r>
              <w:rPr>
                <w:rFonts w:ascii="宋体" w:hAnsi="宋体" w:cs="仿宋" w:hint="eastAsia"/>
                <w:b/>
                <w:color w:val="000000"/>
                <w:sz w:val="24"/>
              </w:rPr>
              <w:t>评审因素</w:t>
            </w:r>
          </w:p>
        </w:tc>
        <w:tc>
          <w:tcPr>
            <w:tcW w:w="5502" w:type="dxa"/>
            <w:vAlign w:val="center"/>
          </w:tcPr>
          <w:p w:rsidR="002A0543" w:rsidRDefault="0034185A">
            <w:pPr>
              <w:spacing w:line="440" w:lineRule="exact"/>
              <w:jc w:val="center"/>
              <w:rPr>
                <w:rFonts w:ascii="宋体" w:hAnsi="宋体" w:cs="仿宋"/>
                <w:b/>
                <w:color w:val="000000"/>
                <w:sz w:val="24"/>
              </w:rPr>
            </w:pPr>
            <w:r>
              <w:rPr>
                <w:rFonts w:ascii="宋体" w:hAnsi="宋体" w:cs="仿宋" w:hint="eastAsia"/>
                <w:b/>
                <w:kern w:val="0"/>
                <w:sz w:val="24"/>
              </w:rPr>
              <w:t>评审标准</w:t>
            </w:r>
          </w:p>
        </w:tc>
        <w:tc>
          <w:tcPr>
            <w:tcW w:w="606" w:type="dxa"/>
            <w:vAlign w:val="center"/>
          </w:tcPr>
          <w:p w:rsidR="002A0543" w:rsidRDefault="0034185A">
            <w:pPr>
              <w:widowControl/>
              <w:jc w:val="center"/>
              <w:rPr>
                <w:rFonts w:ascii="宋体" w:hAnsi="宋体" w:cs="仿宋"/>
                <w:kern w:val="0"/>
                <w:sz w:val="24"/>
              </w:rPr>
            </w:pPr>
            <w:r>
              <w:rPr>
                <w:rFonts w:ascii="宋体" w:hAnsi="宋体" w:cs="仿宋" w:hint="eastAsia"/>
                <w:b/>
                <w:kern w:val="0"/>
                <w:sz w:val="24"/>
              </w:rPr>
              <w:t>备注</w:t>
            </w:r>
          </w:p>
        </w:tc>
      </w:tr>
      <w:tr w:rsidR="002A0543">
        <w:trPr>
          <w:trHeight w:val="812"/>
          <w:jc w:val="center"/>
        </w:trPr>
        <w:tc>
          <w:tcPr>
            <w:tcW w:w="1345" w:type="dxa"/>
            <w:vMerge w:val="restart"/>
            <w:vAlign w:val="center"/>
          </w:tcPr>
          <w:p w:rsidR="002A0543" w:rsidRDefault="0034185A">
            <w:pPr>
              <w:widowControl/>
              <w:adjustRightInd w:val="0"/>
              <w:snapToGrid w:val="0"/>
              <w:jc w:val="center"/>
              <w:rPr>
                <w:rFonts w:ascii="宋体" w:hAnsi="宋体" w:cs="仿宋"/>
                <w:sz w:val="24"/>
              </w:rPr>
            </w:pPr>
            <w:r>
              <w:rPr>
                <w:rFonts w:ascii="宋体" w:hAnsi="宋体" w:cs="仿宋" w:hint="eastAsia"/>
                <w:sz w:val="24"/>
              </w:rPr>
              <w:t>技术资信分</w:t>
            </w:r>
          </w:p>
          <w:p w:rsidR="002A0543" w:rsidRDefault="0034185A">
            <w:pPr>
              <w:widowControl/>
              <w:adjustRightInd w:val="0"/>
              <w:snapToGrid w:val="0"/>
              <w:jc w:val="center"/>
              <w:rPr>
                <w:rFonts w:ascii="宋体" w:hAnsi="宋体" w:cs="仿宋"/>
                <w:sz w:val="24"/>
              </w:rPr>
            </w:pPr>
            <w:r>
              <w:rPr>
                <w:rFonts w:ascii="宋体" w:hAnsi="宋体" w:cs="仿宋" w:hint="eastAsia"/>
                <w:sz w:val="24"/>
              </w:rPr>
              <w:t>（</w:t>
            </w:r>
            <w:r>
              <w:rPr>
                <w:rFonts w:ascii="宋体" w:hAnsi="宋体" w:cs="仿宋" w:hint="eastAsia"/>
                <w:sz w:val="24"/>
              </w:rPr>
              <w:t>7</w:t>
            </w:r>
            <w:r>
              <w:rPr>
                <w:rFonts w:ascii="宋体" w:hAnsi="宋体" w:cs="仿宋" w:hint="eastAsia"/>
                <w:sz w:val="24"/>
              </w:rPr>
              <w:t>0</w:t>
            </w:r>
            <w:r>
              <w:rPr>
                <w:rFonts w:ascii="宋体" w:hAnsi="宋体" w:cs="仿宋" w:hint="eastAsia"/>
                <w:sz w:val="24"/>
              </w:rPr>
              <w:t>分）</w:t>
            </w:r>
          </w:p>
        </w:tc>
        <w:tc>
          <w:tcPr>
            <w:tcW w:w="1329" w:type="dxa"/>
            <w:vAlign w:val="center"/>
          </w:tcPr>
          <w:p w:rsidR="002A0543" w:rsidRDefault="0034185A">
            <w:pPr>
              <w:adjustRightInd w:val="0"/>
              <w:snapToGrid w:val="0"/>
              <w:spacing w:line="300" w:lineRule="auto"/>
              <w:jc w:val="center"/>
              <w:rPr>
                <w:rFonts w:ascii="宋体" w:hAnsi="宋体"/>
                <w:color w:val="000000"/>
                <w:sz w:val="24"/>
              </w:rPr>
            </w:pPr>
            <w:r>
              <w:rPr>
                <w:rFonts w:ascii="宋体" w:hAnsi="宋体" w:hint="eastAsia"/>
                <w:color w:val="000000"/>
                <w:sz w:val="24"/>
              </w:rPr>
              <w:t>供应商业绩（</w:t>
            </w:r>
            <w:r>
              <w:rPr>
                <w:rFonts w:ascii="宋体" w:hAnsi="宋体" w:hint="eastAsia"/>
                <w:color w:val="000000"/>
                <w:sz w:val="24"/>
              </w:rPr>
              <w:t>40</w:t>
            </w:r>
            <w:r>
              <w:rPr>
                <w:rFonts w:ascii="宋体" w:hAnsi="宋体" w:hint="eastAsia"/>
                <w:color w:val="000000"/>
                <w:sz w:val="24"/>
              </w:rPr>
              <w:t>分）</w:t>
            </w:r>
          </w:p>
        </w:tc>
        <w:tc>
          <w:tcPr>
            <w:tcW w:w="5502" w:type="dxa"/>
            <w:vAlign w:val="center"/>
          </w:tcPr>
          <w:p w:rsidR="002A0543" w:rsidRDefault="0034185A">
            <w:pPr>
              <w:adjustRightInd w:val="0"/>
              <w:snapToGrid w:val="0"/>
              <w:spacing w:line="360" w:lineRule="auto"/>
              <w:jc w:val="left"/>
              <w:rPr>
                <w:rFonts w:ascii="宋体" w:hAnsi="宋体"/>
                <w:color w:val="000000"/>
                <w:kern w:val="0"/>
                <w:sz w:val="24"/>
              </w:rPr>
            </w:pPr>
            <w:r>
              <w:rPr>
                <w:rFonts w:ascii="宋体" w:hAnsi="宋体"/>
                <w:color w:val="000000"/>
                <w:kern w:val="0"/>
                <w:sz w:val="24"/>
              </w:rPr>
              <w:t>201</w:t>
            </w:r>
            <w:r>
              <w:rPr>
                <w:rFonts w:ascii="宋体" w:hAnsi="宋体" w:hint="eastAsia"/>
                <w:color w:val="000000"/>
                <w:kern w:val="0"/>
                <w:sz w:val="24"/>
              </w:rPr>
              <w:t>9</w:t>
            </w:r>
            <w:r>
              <w:rPr>
                <w:rFonts w:ascii="宋体" w:hAnsi="宋体"/>
                <w:color w:val="000000"/>
                <w:kern w:val="0"/>
                <w:sz w:val="24"/>
              </w:rPr>
              <w:t>年</w:t>
            </w:r>
            <w:r>
              <w:rPr>
                <w:rFonts w:ascii="宋体" w:hAnsi="宋体"/>
                <w:color w:val="000000"/>
                <w:kern w:val="0"/>
                <w:sz w:val="24"/>
              </w:rPr>
              <w:t>1</w:t>
            </w:r>
            <w:r>
              <w:rPr>
                <w:rFonts w:ascii="宋体" w:hAnsi="宋体"/>
                <w:color w:val="000000"/>
                <w:kern w:val="0"/>
                <w:sz w:val="24"/>
              </w:rPr>
              <w:t>月</w:t>
            </w:r>
            <w:r>
              <w:rPr>
                <w:rFonts w:ascii="宋体" w:hAnsi="宋体"/>
                <w:color w:val="000000"/>
                <w:kern w:val="0"/>
                <w:sz w:val="24"/>
              </w:rPr>
              <w:t>1</w:t>
            </w:r>
            <w:r>
              <w:rPr>
                <w:rFonts w:ascii="宋体" w:hAnsi="宋体"/>
                <w:color w:val="000000"/>
                <w:kern w:val="0"/>
                <w:sz w:val="24"/>
              </w:rPr>
              <w:t>日以来（以合同签订时间为准），</w:t>
            </w:r>
            <w:r>
              <w:rPr>
                <w:rFonts w:ascii="宋体" w:hAnsi="宋体" w:hint="eastAsia"/>
                <w:color w:val="000000"/>
                <w:kern w:val="0"/>
                <w:sz w:val="24"/>
              </w:rPr>
              <w:t>供应商</w:t>
            </w:r>
            <w:r>
              <w:rPr>
                <w:rFonts w:ascii="宋体" w:hAnsi="宋体"/>
                <w:color w:val="000000"/>
                <w:kern w:val="0"/>
                <w:sz w:val="24"/>
              </w:rPr>
              <w:t>每提供</w:t>
            </w:r>
            <w:r>
              <w:rPr>
                <w:rFonts w:ascii="宋体" w:hAnsi="宋体" w:hint="eastAsia"/>
                <w:color w:val="000000"/>
                <w:sz w:val="24"/>
              </w:rPr>
              <w:t>1</w:t>
            </w:r>
            <w:r>
              <w:rPr>
                <w:rFonts w:ascii="宋体" w:hAnsi="宋体" w:hint="eastAsia"/>
                <w:color w:val="000000"/>
                <w:sz w:val="24"/>
              </w:rPr>
              <w:t>个</w:t>
            </w:r>
            <w:r>
              <w:rPr>
                <w:rFonts w:ascii="仿宋" w:eastAsia="仿宋" w:hAnsi="仿宋" w:hint="eastAsia"/>
                <w:sz w:val="24"/>
              </w:rPr>
              <w:t>绿化工程</w:t>
            </w:r>
            <w:r>
              <w:rPr>
                <w:rFonts w:ascii="宋体" w:hAnsi="宋体"/>
                <w:color w:val="000000"/>
                <w:kern w:val="0"/>
                <w:sz w:val="24"/>
              </w:rPr>
              <w:t>的得</w:t>
            </w:r>
            <w:r>
              <w:rPr>
                <w:rFonts w:ascii="宋体" w:hAnsi="宋体" w:hint="eastAsia"/>
                <w:color w:val="000000"/>
                <w:kern w:val="0"/>
                <w:sz w:val="24"/>
              </w:rPr>
              <w:t>8</w:t>
            </w:r>
            <w:r>
              <w:rPr>
                <w:rFonts w:ascii="宋体" w:hAnsi="宋体"/>
                <w:color w:val="000000"/>
                <w:kern w:val="0"/>
                <w:sz w:val="24"/>
              </w:rPr>
              <w:t>分，满分</w:t>
            </w:r>
            <w:r>
              <w:rPr>
                <w:rFonts w:ascii="宋体" w:hAnsi="宋体" w:hint="eastAsia"/>
                <w:color w:val="000000"/>
                <w:kern w:val="0"/>
                <w:sz w:val="24"/>
              </w:rPr>
              <w:t>40</w:t>
            </w:r>
            <w:r>
              <w:rPr>
                <w:rFonts w:ascii="宋体" w:hAnsi="宋体"/>
                <w:color w:val="000000"/>
                <w:kern w:val="0"/>
                <w:sz w:val="24"/>
              </w:rPr>
              <w:t>分。</w:t>
            </w:r>
          </w:p>
          <w:p w:rsidR="002A0543" w:rsidRDefault="0034185A">
            <w:pPr>
              <w:adjustRightInd w:val="0"/>
              <w:snapToGrid w:val="0"/>
              <w:spacing w:line="360" w:lineRule="auto"/>
              <w:jc w:val="left"/>
              <w:rPr>
                <w:rFonts w:ascii="宋体" w:hAnsi="宋体"/>
                <w:b/>
                <w:color w:val="000000"/>
                <w:sz w:val="24"/>
              </w:rPr>
            </w:pPr>
            <w:r>
              <w:rPr>
                <w:rFonts w:ascii="宋体" w:hAnsi="宋体"/>
                <w:color w:val="000000"/>
                <w:kern w:val="0"/>
                <w:sz w:val="24"/>
              </w:rPr>
              <w:t>备注：</w:t>
            </w:r>
            <w:r>
              <w:rPr>
                <w:rFonts w:ascii="宋体" w:hAnsi="宋体" w:hint="eastAsia"/>
                <w:b/>
                <w:color w:val="000000"/>
                <w:kern w:val="0"/>
                <w:sz w:val="24"/>
              </w:rPr>
              <w:t>①</w:t>
            </w:r>
            <w:r>
              <w:rPr>
                <w:rFonts w:ascii="宋体" w:hAnsi="宋体"/>
                <w:b/>
                <w:color w:val="000000"/>
                <w:kern w:val="0"/>
                <w:sz w:val="24"/>
              </w:rPr>
              <w:t>提供合同扫描</w:t>
            </w:r>
            <w:r>
              <w:rPr>
                <w:rFonts w:ascii="宋体" w:hAnsi="宋体" w:hint="eastAsia"/>
                <w:b/>
                <w:color w:val="000000"/>
                <w:kern w:val="0"/>
                <w:sz w:val="24"/>
              </w:rPr>
              <w:t>件</w:t>
            </w:r>
            <w:r>
              <w:rPr>
                <w:rFonts w:ascii="宋体" w:hAnsi="宋体"/>
                <w:b/>
                <w:color w:val="000000"/>
                <w:kern w:val="0"/>
                <w:sz w:val="24"/>
              </w:rPr>
              <w:t>；</w:t>
            </w:r>
            <w:r>
              <w:rPr>
                <w:rFonts w:ascii="宋体" w:hAnsi="宋体" w:hint="eastAsia"/>
                <w:color w:val="000000"/>
                <w:kern w:val="0"/>
                <w:sz w:val="24"/>
              </w:rPr>
              <w:t>②</w:t>
            </w:r>
            <w:r>
              <w:rPr>
                <w:rFonts w:ascii="宋体" w:hAnsi="宋体"/>
                <w:b/>
                <w:color w:val="000000"/>
                <w:kern w:val="0"/>
                <w:sz w:val="24"/>
              </w:rPr>
              <w:t>合同应体现签订时间、合同内容等关键信息，</w:t>
            </w:r>
            <w:proofErr w:type="gramStart"/>
            <w:r>
              <w:rPr>
                <w:rFonts w:ascii="宋体" w:hAnsi="宋体" w:hint="eastAsia"/>
                <w:b/>
                <w:color w:val="000000"/>
                <w:kern w:val="1"/>
                <w:sz w:val="24"/>
                <w:lang w:eastAsia="ar-SA"/>
              </w:rPr>
              <w:t>若合同</w:t>
            </w:r>
            <w:proofErr w:type="gramEnd"/>
            <w:r>
              <w:rPr>
                <w:rFonts w:ascii="宋体" w:hAnsi="宋体" w:hint="eastAsia"/>
                <w:b/>
                <w:color w:val="000000"/>
                <w:kern w:val="1"/>
                <w:sz w:val="24"/>
                <w:lang w:eastAsia="ar-SA"/>
              </w:rPr>
              <w:t>中无法体现评审内容的，该项业绩</w:t>
            </w:r>
            <w:r>
              <w:rPr>
                <w:rFonts w:ascii="宋体" w:hAnsi="宋体"/>
                <w:b/>
                <w:color w:val="000000"/>
                <w:kern w:val="0"/>
                <w:sz w:val="24"/>
              </w:rPr>
              <w:t>不予认可</w:t>
            </w:r>
            <w:r>
              <w:rPr>
                <w:rFonts w:ascii="宋体" w:hAnsi="宋体" w:hint="eastAsia"/>
                <w:b/>
                <w:color w:val="000000"/>
                <w:kern w:val="0"/>
                <w:sz w:val="24"/>
              </w:rPr>
              <w:t>。</w:t>
            </w:r>
          </w:p>
        </w:tc>
        <w:tc>
          <w:tcPr>
            <w:tcW w:w="606" w:type="dxa"/>
          </w:tcPr>
          <w:p w:rsidR="002A0543" w:rsidRDefault="002A0543">
            <w:pPr>
              <w:widowControl/>
              <w:jc w:val="left"/>
              <w:rPr>
                <w:rFonts w:ascii="宋体" w:hAnsi="宋体"/>
                <w:kern w:val="0"/>
                <w:sz w:val="24"/>
              </w:rPr>
            </w:pPr>
          </w:p>
        </w:tc>
      </w:tr>
      <w:tr w:rsidR="002A0543">
        <w:trPr>
          <w:trHeight w:val="259"/>
          <w:jc w:val="center"/>
        </w:trPr>
        <w:tc>
          <w:tcPr>
            <w:tcW w:w="1345" w:type="dxa"/>
            <w:vMerge/>
            <w:vAlign w:val="center"/>
          </w:tcPr>
          <w:p w:rsidR="002A0543" w:rsidRDefault="002A0543">
            <w:pPr>
              <w:widowControl/>
              <w:jc w:val="center"/>
              <w:rPr>
                <w:rFonts w:ascii="宋体" w:hAnsi="宋体" w:cs="仿宋"/>
                <w:kern w:val="0"/>
                <w:sz w:val="24"/>
              </w:rPr>
            </w:pPr>
          </w:p>
        </w:tc>
        <w:tc>
          <w:tcPr>
            <w:tcW w:w="1329" w:type="dxa"/>
            <w:vMerge w:val="restart"/>
            <w:vAlign w:val="center"/>
          </w:tcPr>
          <w:p w:rsidR="002A0543" w:rsidRDefault="0034185A">
            <w:pPr>
              <w:widowControl/>
              <w:adjustRightInd w:val="0"/>
              <w:snapToGrid w:val="0"/>
              <w:jc w:val="center"/>
              <w:rPr>
                <w:rFonts w:ascii="宋体" w:hAnsi="宋体"/>
                <w:color w:val="000000"/>
                <w:sz w:val="24"/>
              </w:rPr>
            </w:pPr>
            <w:r>
              <w:rPr>
                <w:rFonts w:ascii="宋体" w:hAnsi="宋体"/>
                <w:color w:val="000000"/>
                <w:sz w:val="24"/>
              </w:rPr>
              <w:t>施工组织设计</w:t>
            </w:r>
          </w:p>
          <w:p w:rsidR="002A0543" w:rsidRDefault="0034185A">
            <w:pPr>
              <w:widowControl/>
              <w:adjustRightInd w:val="0"/>
              <w:snapToGrid w:val="0"/>
              <w:jc w:val="center"/>
              <w:rPr>
                <w:rFonts w:ascii="宋体" w:hAnsi="宋体" w:cs="仿宋"/>
                <w:bCs/>
                <w:color w:val="0000FF"/>
                <w:sz w:val="24"/>
              </w:rPr>
            </w:pPr>
            <w:r>
              <w:rPr>
                <w:rFonts w:ascii="宋体" w:hAnsi="宋体" w:hint="eastAsia"/>
                <w:color w:val="000000"/>
                <w:sz w:val="24"/>
              </w:rPr>
              <w:t>（</w:t>
            </w:r>
            <w:r>
              <w:rPr>
                <w:rFonts w:ascii="宋体" w:hAnsi="宋体" w:hint="eastAsia"/>
                <w:color w:val="000000"/>
                <w:sz w:val="24"/>
              </w:rPr>
              <w:t>30</w:t>
            </w:r>
            <w:r>
              <w:rPr>
                <w:rFonts w:ascii="宋体" w:hAnsi="宋体" w:hint="eastAsia"/>
                <w:color w:val="000000"/>
                <w:sz w:val="24"/>
              </w:rPr>
              <w:t>分）</w:t>
            </w:r>
          </w:p>
        </w:tc>
        <w:tc>
          <w:tcPr>
            <w:tcW w:w="5502" w:type="dxa"/>
            <w:vAlign w:val="center"/>
          </w:tcPr>
          <w:p w:rsidR="002A0543" w:rsidRDefault="0034185A">
            <w:pPr>
              <w:spacing w:line="360" w:lineRule="exact"/>
              <w:rPr>
                <w:rFonts w:ascii="宋体" w:hAnsi="宋体" w:cs="仿宋"/>
                <w:sz w:val="24"/>
              </w:rPr>
            </w:pPr>
            <w:r>
              <w:rPr>
                <w:rFonts w:ascii="宋体" w:hAnsi="宋体" w:cs="仿宋" w:hint="eastAsia"/>
                <w:sz w:val="24"/>
              </w:rPr>
              <w:t>针对项目实际情况，有总体实施内容描述；施工总体设想表述合理性、清晰程度；施工工段及流水段划分合理性、清晰程度；工期、质量、安全、文明的标准与目标合理性；对该项目特殊工艺或关键工序设想合理性。优秀得</w:t>
            </w:r>
            <w:r>
              <w:rPr>
                <w:rFonts w:ascii="宋体" w:hAnsi="宋体" w:cs="仿宋" w:hint="eastAsia"/>
                <w:sz w:val="24"/>
              </w:rPr>
              <w:t>3</w:t>
            </w:r>
            <w:r>
              <w:rPr>
                <w:rFonts w:ascii="宋体" w:hAnsi="宋体" w:cs="仿宋" w:hint="eastAsia"/>
                <w:sz w:val="24"/>
              </w:rPr>
              <w:t>分，良好得</w:t>
            </w:r>
            <w:r>
              <w:rPr>
                <w:rFonts w:ascii="宋体" w:hAnsi="宋体" w:cs="仿宋" w:hint="eastAsia"/>
                <w:sz w:val="24"/>
              </w:rPr>
              <w:t>2</w:t>
            </w:r>
            <w:r>
              <w:rPr>
                <w:rFonts w:ascii="宋体" w:hAnsi="宋体" w:cs="仿宋" w:hint="eastAsia"/>
                <w:sz w:val="24"/>
              </w:rPr>
              <w:t>分，差得</w:t>
            </w:r>
            <w:r>
              <w:rPr>
                <w:rFonts w:ascii="宋体" w:hAnsi="宋体" w:cs="仿宋" w:hint="eastAsia"/>
                <w:sz w:val="24"/>
              </w:rPr>
              <w:t>1</w:t>
            </w:r>
            <w:r>
              <w:rPr>
                <w:rFonts w:ascii="宋体" w:hAnsi="宋体" w:cs="仿宋" w:hint="eastAsia"/>
                <w:sz w:val="24"/>
              </w:rPr>
              <w:t>分，未提供不得分。</w:t>
            </w:r>
          </w:p>
        </w:tc>
        <w:tc>
          <w:tcPr>
            <w:tcW w:w="606" w:type="dxa"/>
          </w:tcPr>
          <w:p w:rsidR="002A0543" w:rsidRDefault="002A0543">
            <w:pPr>
              <w:widowControl/>
              <w:jc w:val="left"/>
              <w:rPr>
                <w:rFonts w:ascii="宋体" w:hAnsi="宋体"/>
                <w:kern w:val="0"/>
                <w:sz w:val="24"/>
              </w:rPr>
            </w:pPr>
          </w:p>
        </w:tc>
      </w:tr>
      <w:tr w:rsidR="002A0543">
        <w:trPr>
          <w:trHeight w:val="870"/>
          <w:jc w:val="center"/>
        </w:trPr>
        <w:tc>
          <w:tcPr>
            <w:tcW w:w="1345" w:type="dxa"/>
            <w:vMerge/>
            <w:vAlign w:val="center"/>
          </w:tcPr>
          <w:p w:rsidR="002A0543" w:rsidRDefault="002A0543">
            <w:pPr>
              <w:widowControl/>
              <w:jc w:val="center"/>
              <w:rPr>
                <w:rFonts w:ascii="宋体" w:hAnsi="宋体" w:cs="仿宋"/>
                <w:kern w:val="0"/>
                <w:sz w:val="24"/>
              </w:rPr>
            </w:pPr>
          </w:p>
        </w:tc>
        <w:tc>
          <w:tcPr>
            <w:tcW w:w="1329" w:type="dxa"/>
            <w:vMerge/>
            <w:vAlign w:val="center"/>
          </w:tcPr>
          <w:p w:rsidR="002A0543" w:rsidRDefault="002A0543">
            <w:pPr>
              <w:widowControl/>
              <w:adjustRightInd w:val="0"/>
              <w:snapToGrid w:val="0"/>
              <w:jc w:val="center"/>
              <w:rPr>
                <w:rFonts w:ascii="宋体" w:hAnsi="宋体" w:cs="仿宋"/>
                <w:bCs/>
                <w:color w:val="0000FF"/>
                <w:sz w:val="24"/>
              </w:rPr>
            </w:pPr>
          </w:p>
        </w:tc>
        <w:tc>
          <w:tcPr>
            <w:tcW w:w="5502" w:type="dxa"/>
            <w:vAlign w:val="center"/>
          </w:tcPr>
          <w:p w:rsidR="002A0543" w:rsidRDefault="0034185A">
            <w:pPr>
              <w:spacing w:line="360" w:lineRule="exact"/>
              <w:rPr>
                <w:rFonts w:ascii="宋体" w:hAnsi="宋体" w:cs="仿宋"/>
                <w:sz w:val="24"/>
              </w:rPr>
            </w:pPr>
            <w:r>
              <w:rPr>
                <w:rFonts w:ascii="宋体" w:hAnsi="宋体" w:cs="仿宋" w:hint="eastAsia"/>
                <w:sz w:val="24"/>
              </w:rPr>
              <w:t>关键线路选择合理性、清晰程度；关键节点控制措施合理性；各进度节点保证措施明确程度；横道图、网络图内容合理性、完整性。优秀得</w:t>
            </w:r>
            <w:r>
              <w:rPr>
                <w:rFonts w:ascii="宋体" w:hAnsi="宋体" w:cs="仿宋" w:hint="eastAsia"/>
                <w:sz w:val="24"/>
              </w:rPr>
              <w:t>3</w:t>
            </w:r>
            <w:r>
              <w:rPr>
                <w:rFonts w:ascii="宋体" w:hAnsi="宋体" w:cs="仿宋" w:hint="eastAsia"/>
                <w:sz w:val="24"/>
              </w:rPr>
              <w:t>分，良好得</w:t>
            </w:r>
            <w:r>
              <w:rPr>
                <w:rFonts w:ascii="宋体" w:hAnsi="宋体" w:cs="仿宋" w:hint="eastAsia"/>
                <w:sz w:val="24"/>
              </w:rPr>
              <w:t>2</w:t>
            </w:r>
            <w:r>
              <w:rPr>
                <w:rFonts w:ascii="宋体" w:hAnsi="宋体" w:cs="仿宋" w:hint="eastAsia"/>
                <w:sz w:val="24"/>
              </w:rPr>
              <w:t>分，差得</w:t>
            </w:r>
            <w:r>
              <w:rPr>
                <w:rFonts w:ascii="宋体" w:hAnsi="宋体" w:cs="仿宋" w:hint="eastAsia"/>
                <w:sz w:val="24"/>
              </w:rPr>
              <w:t>1</w:t>
            </w:r>
            <w:r>
              <w:rPr>
                <w:rFonts w:ascii="宋体" w:hAnsi="宋体" w:cs="仿宋" w:hint="eastAsia"/>
                <w:sz w:val="24"/>
              </w:rPr>
              <w:t>分，未提供不得分。</w:t>
            </w:r>
          </w:p>
        </w:tc>
        <w:tc>
          <w:tcPr>
            <w:tcW w:w="606" w:type="dxa"/>
          </w:tcPr>
          <w:p w:rsidR="002A0543" w:rsidRDefault="002A0543">
            <w:pPr>
              <w:widowControl/>
              <w:jc w:val="left"/>
              <w:rPr>
                <w:rFonts w:ascii="宋体" w:hAnsi="宋体"/>
                <w:kern w:val="0"/>
                <w:sz w:val="24"/>
              </w:rPr>
            </w:pPr>
          </w:p>
        </w:tc>
      </w:tr>
      <w:tr w:rsidR="002A0543">
        <w:trPr>
          <w:trHeight w:val="870"/>
          <w:jc w:val="center"/>
        </w:trPr>
        <w:tc>
          <w:tcPr>
            <w:tcW w:w="1345" w:type="dxa"/>
            <w:vMerge/>
            <w:vAlign w:val="center"/>
          </w:tcPr>
          <w:p w:rsidR="002A0543" w:rsidRDefault="002A0543">
            <w:pPr>
              <w:widowControl/>
              <w:jc w:val="center"/>
              <w:rPr>
                <w:rFonts w:ascii="宋体" w:hAnsi="宋体" w:cs="仿宋"/>
                <w:kern w:val="0"/>
                <w:sz w:val="24"/>
              </w:rPr>
            </w:pPr>
          </w:p>
        </w:tc>
        <w:tc>
          <w:tcPr>
            <w:tcW w:w="1329" w:type="dxa"/>
            <w:vMerge/>
            <w:vAlign w:val="center"/>
          </w:tcPr>
          <w:p w:rsidR="002A0543" w:rsidRDefault="002A0543">
            <w:pPr>
              <w:widowControl/>
              <w:adjustRightInd w:val="0"/>
              <w:snapToGrid w:val="0"/>
              <w:jc w:val="center"/>
              <w:rPr>
                <w:rFonts w:ascii="宋体" w:hAnsi="宋体" w:cs="仿宋"/>
                <w:bCs/>
                <w:color w:val="0000FF"/>
                <w:sz w:val="24"/>
              </w:rPr>
            </w:pPr>
          </w:p>
        </w:tc>
        <w:tc>
          <w:tcPr>
            <w:tcW w:w="5502" w:type="dxa"/>
            <w:vAlign w:val="center"/>
          </w:tcPr>
          <w:p w:rsidR="002A0543" w:rsidRDefault="0034185A">
            <w:pPr>
              <w:spacing w:line="360" w:lineRule="exact"/>
              <w:rPr>
                <w:rFonts w:ascii="宋体" w:hAnsi="宋体" w:cs="仿宋"/>
                <w:sz w:val="24"/>
              </w:rPr>
            </w:pPr>
            <w:r>
              <w:rPr>
                <w:rFonts w:ascii="宋体" w:hAnsi="宋体" w:cs="仿宋" w:hint="eastAsia"/>
                <w:sz w:val="24"/>
              </w:rPr>
              <w:t>投入计划与进度计划呼应，满足施工需要程度；劳动力配备和材料调配投入计划衔接、安排合理性；保证措施完善程度。优秀得</w:t>
            </w:r>
            <w:r>
              <w:rPr>
                <w:rFonts w:ascii="宋体" w:hAnsi="宋体" w:cs="仿宋" w:hint="eastAsia"/>
                <w:sz w:val="24"/>
              </w:rPr>
              <w:t>3</w:t>
            </w:r>
            <w:r>
              <w:rPr>
                <w:rFonts w:ascii="宋体" w:hAnsi="宋体" w:cs="仿宋" w:hint="eastAsia"/>
                <w:sz w:val="24"/>
              </w:rPr>
              <w:t>分，良好得</w:t>
            </w:r>
            <w:r>
              <w:rPr>
                <w:rFonts w:ascii="宋体" w:hAnsi="宋体" w:cs="仿宋" w:hint="eastAsia"/>
                <w:sz w:val="24"/>
              </w:rPr>
              <w:t>2</w:t>
            </w:r>
            <w:r>
              <w:rPr>
                <w:rFonts w:ascii="宋体" w:hAnsi="宋体" w:cs="仿宋" w:hint="eastAsia"/>
                <w:sz w:val="24"/>
              </w:rPr>
              <w:t>分，差</w:t>
            </w:r>
            <w:r>
              <w:rPr>
                <w:rFonts w:ascii="宋体" w:hAnsi="宋体" w:cs="仿宋" w:hint="eastAsia"/>
                <w:sz w:val="24"/>
              </w:rPr>
              <w:lastRenderedPageBreak/>
              <w:t>得</w:t>
            </w:r>
            <w:r>
              <w:rPr>
                <w:rFonts w:ascii="宋体" w:hAnsi="宋体" w:cs="仿宋" w:hint="eastAsia"/>
                <w:sz w:val="24"/>
              </w:rPr>
              <w:t>1</w:t>
            </w:r>
            <w:r>
              <w:rPr>
                <w:rFonts w:ascii="宋体" w:hAnsi="宋体" w:cs="仿宋" w:hint="eastAsia"/>
                <w:sz w:val="24"/>
              </w:rPr>
              <w:t>分，未提供不得分。</w:t>
            </w:r>
          </w:p>
        </w:tc>
        <w:tc>
          <w:tcPr>
            <w:tcW w:w="606" w:type="dxa"/>
          </w:tcPr>
          <w:p w:rsidR="002A0543" w:rsidRDefault="002A0543">
            <w:pPr>
              <w:widowControl/>
              <w:jc w:val="left"/>
              <w:rPr>
                <w:rFonts w:ascii="宋体" w:hAnsi="宋体"/>
                <w:kern w:val="0"/>
                <w:sz w:val="24"/>
              </w:rPr>
            </w:pPr>
          </w:p>
        </w:tc>
      </w:tr>
      <w:tr w:rsidR="002A0543">
        <w:trPr>
          <w:trHeight w:val="870"/>
          <w:jc w:val="center"/>
        </w:trPr>
        <w:tc>
          <w:tcPr>
            <w:tcW w:w="1345" w:type="dxa"/>
            <w:vMerge/>
            <w:vAlign w:val="center"/>
          </w:tcPr>
          <w:p w:rsidR="002A0543" w:rsidRDefault="002A0543">
            <w:pPr>
              <w:widowControl/>
              <w:jc w:val="center"/>
              <w:rPr>
                <w:rFonts w:ascii="宋体" w:hAnsi="宋体" w:cs="仿宋"/>
                <w:kern w:val="0"/>
                <w:sz w:val="24"/>
              </w:rPr>
            </w:pPr>
          </w:p>
        </w:tc>
        <w:tc>
          <w:tcPr>
            <w:tcW w:w="1329" w:type="dxa"/>
            <w:vMerge/>
            <w:vAlign w:val="center"/>
          </w:tcPr>
          <w:p w:rsidR="002A0543" w:rsidRDefault="002A0543">
            <w:pPr>
              <w:widowControl/>
              <w:adjustRightInd w:val="0"/>
              <w:snapToGrid w:val="0"/>
              <w:jc w:val="center"/>
              <w:rPr>
                <w:rFonts w:ascii="宋体" w:hAnsi="宋体" w:cs="仿宋"/>
                <w:bCs/>
                <w:color w:val="0000FF"/>
                <w:sz w:val="24"/>
              </w:rPr>
            </w:pPr>
          </w:p>
        </w:tc>
        <w:tc>
          <w:tcPr>
            <w:tcW w:w="5502" w:type="dxa"/>
            <w:vAlign w:val="center"/>
          </w:tcPr>
          <w:p w:rsidR="002A0543" w:rsidRDefault="0034185A">
            <w:pPr>
              <w:spacing w:line="360" w:lineRule="exact"/>
              <w:rPr>
                <w:rFonts w:ascii="宋体" w:hAnsi="宋体" w:cs="仿宋"/>
                <w:sz w:val="24"/>
              </w:rPr>
            </w:pPr>
            <w:r>
              <w:rPr>
                <w:rFonts w:ascii="宋体" w:hAnsi="宋体" w:cs="仿宋" w:hint="eastAsia"/>
                <w:sz w:val="24"/>
              </w:rPr>
              <w:t>投入计划与进度计划呼应，满足施工需要程度；机械设备和检测实验仪器设备投入计划安排合理性；保证措施完善程度。优秀得</w:t>
            </w:r>
            <w:r>
              <w:rPr>
                <w:rFonts w:ascii="宋体" w:hAnsi="宋体" w:cs="仿宋" w:hint="eastAsia"/>
                <w:sz w:val="24"/>
              </w:rPr>
              <w:t>3</w:t>
            </w:r>
            <w:r>
              <w:rPr>
                <w:rFonts w:ascii="宋体" w:hAnsi="宋体" w:cs="仿宋" w:hint="eastAsia"/>
                <w:sz w:val="24"/>
              </w:rPr>
              <w:t>分，良好得</w:t>
            </w:r>
            <w:r>
              <w:rPr>
                <w:rFonts w:ascii="宋体" w:hAnsi="宋体" w:cs="仿宋" w:hint="eastAsia"/>
                <w:sz w:val="24"/>
              </w:rPr>
              <w:t>2</w:t>
            </w:r>
            <w:r>
              <w:rPr>
                <w:rFonts w:ascii="宋体" w:hAnsi="宋体" w:cs="仿宋" w:hint="eastAsia"/>
                <w:sz w:val="24"/>
              </w:rPr>
              <w:t>分，差得</w:t>
            </w:r>
            <w:r>
              <w:rPr>
                <w:rFonts w:ascii="宋体" w:hAnsi="宋体" w:cs="仿宋" w:hint="eastAsia"/>
                <w:sz w:val="24"/>
              </w:rPr>
              <w:t>1</w:t>
            </w:r>
            <w:r>
              <w:rPr>
                <w:rFonts w:ascii="宋体" w:hAnsi="宋体" w:cs="仿宋" w:hint="eastAsia"/>
                <w:sz w:val="24"/>
              </w:rPr>
              <w:t>分，未提供不得分。</w:t>
            </w:r>
          </w:p>
        </w:tc>
        <w:tc>
          <w:tcPr>
            <w:tcW w:w="606" w:type="dxa"/>
          </w:tcPr>
          <w:p w:rsidR="002A0543" w:rsidRDefault="002A0543">
            <w:pPr>
              <w:widowControl/>
              <w:jc w:val="left"/>
              <w:rPr>
                <w:rFonts w:ascii="宋体" w:hAnsi="宋体"/>
                <w:kern w:val="0"/>
                <w:sz w:val="24"/>
              </w:rPr>
            </w:pPr>
          </w:p>
        </w:tc>
      </w:tr>
      <w:tr w:rsidR="002A0543">
        <w:trPr>
          <w:trHeight w:val="870"/>
          <w:jc w:val="center"/>
        </w:trPr>
        <w:tc>
          <w:tcPr>
            <w:tcW w:w="1345" w:type="dxa"/>
            <w:vMerge/>
            <w:vAlign w:val="center"/>
          </w:tcPr>
          <w:p w:rsidR="002A0543" w:rsidRDefault="002A0543">
            <w:pPr>
              <w:widowControl/>
              <w:jc w:val="center"/>
              <w:rPr>
                <w:rFonts w:ascii="宋体" w:hAnsi="宋体" w:cs="仿宋"/>
                <w:kern w:val="0"/>
                <w:sz w:val="24"/>
              </w:rPr>
            </w:pPr>
          </w:p>
        </w:tc>
        <w:tc>
          <w:tcPr>
            <w:tcW w:w="1329" w:type="dxa"/>
            <w:vMerge/>
            <w:vAlign w:val="center"/>
          </w:tcPr>
          <w:p w:rsidR="002A0543" w:rsidRDefault="002A0543">
            <w:pPr>
              <w:widowControl/>
              <w:adjustRightInd w:val="0"/>
              <w:snapToGrid w:val="0"/>
              <w:jc w:val="center"/>
              <w:rPr>
                <w:rFonts w:ascii="宋体" w:hAnsi="宋体" w:cs="仿宋"/>
                <w:bCs/>
                <w:color w:val="0000FF"/>
                <w:sz w:val="24"/>
              </w:rPr>
            </w:pPr>
          </w:p>
        </w:tc>
        <w:tc>
          <w:tcPr>
            <w:tcW w:w="5502" w:type="dxa"/>
            <w:vAlign w:val="center"/>
          </w:tcPr>
          <w:p w:rsidR="002A0543" w:rsidRDefault="0034185A">
            <w:pPr>
              <w:spacing w:line="360" w:lineRule="exact"/>
              <w:rPr>
                <w:rFonts w:ascii="宋体" w:hAnsi="宋体" w:cs="仿宋"/>
                <w:sz w:val="24"/>
              </w:rPr>
            </w:pPr>
            <w:r>
              <w:rPr>
                <w:rFonts w:ascii="宋体" w:hAnsi="宋体" w:cs="仿宋" w:hint="eastAsia"/>
                <w:sz w:val="24"/>
              </w:rPr>
              <w:t>总体布置合理性；各要素配置完善，满足施工需要程度；安全文明施工要求的符合程度。优秀得</w:t>
            </w:r>
            <w:r>
              <w:rPr>
                <w:rFonts w:ascii="宋体" w:hAnsi="宋体" w:cs="仿宋" w:hint="eastAsia"/>
                <w:sz w:val="24"/>
              </w:rPr>
              <w:t>3</w:t>
            </w:r>
            <w:r>
              <w:rPr>
                <w:rFonts w:ascii="宋体" w:hAnsi="宋体" w:cs="仿宋" w:hint="eastAsia"/>
                <w:sz w:val="24"/>
              </w:rPr>
              <w:t>分，良好得</w:t>
            </w:r>
            <w:r>
              <w:rPr>
                <w:rFonts w:ascii="宋体" w:hAnsi="宋体" w:cs="仿宋" w:hint="eastAsia"/>
                <w:sz w:val="24"/>
              </w:rPr>
              <w:t>2</w:t>
            </w:r>
            <w:r>
              <w:rPr>
                <w:rFonts w:ascii="宋体" w:hAnsi="宋体" w:cs="仿宋" w:hint="eastAsia"/>
                <w:sz w:val="24"/>
              </w:rPr>
              <w:t>分，差得</w:t>
            </w:r>
            <w:r>
              <w:rPr>
                <w:rFonts w:ascii="宋体" w:hAnsi="宋体" w:cs="仿宋" w:hint="eastAsia"/>
                <w:sz w:val="24"/>
              </w:rPr>
              <w:t>1</w:t>
            </w:r>
            <w:r>
              <w:rPr>
                <w:rFonts w:ascii="宋体" w:hAnsi="宋体" w:cs="仿宋" w:hint="eastAsia"/>
                <w:sz w:val="24"/>
              </w:rPr>
              <w:t>分，未提供不得分。</w:t>
            </w:r>
          </w:p>
        </w:tc>
        <w:tc>
          <w:tcPr>
            <w:tcW w:w="606" w:type="dxa"/>
          </w:tcPr>
          <w:p w:rsidR="002A0543" w:rsidRDefault="002A0543">
            <w:pPr>
              <w:widowControl/>
              <w:jc w:val="left"/>
              <w:rPr>
                <w:rFonts w:ascii="宋体" w:hAnsi="宋体"/>
                <w:kern w:val="0"/>
                <w:sz w:val="24"/>
              </w:rPr>
            </w:pPr>
          </w:p>
        </w:tc>
      </w:tr>
      <w:tr w:rsidR="002A0543">
        <w:trPr>
          <w:trHeight w:val="259"/>
          <w:jc w:val="center"/>
        </w:trPr>
        <w:tc>
          <w:tcPr>
            <w:tcW w:w="1345" w:type="dxa"/>
            <w:vMerge/>
            <w:vAlign w:val="center"/>
          </w:tcPr>
          <w:p w:rsidR="002A0543" w:rsidRDefault="002A0543">
            <w:pPr>
              <w:widowControl/>
              <w:adjustRightInd w:val="0"/>
              <w:snapToGrid w:val="0"/>
              <w:jc w:val="center"/>
              <w:rPr>
                <w:rFonts w:ascii="宋体" w:hAnsi="宋体" w:cs="仿宋"/>
                <w:sz w:val="24"/>
              </w:rPr>
            </w:pPr>
          </w:p>
        </w:tc>
        <w:tc>
          <w:tcPr>
            <w:tcW w:w="1329" w:type="dxa"/>
            <w:vMerge/>
            <w:vAlign w:val="center"/>
          </w:tcPr>
          <w:p w:rsidR="002A0543" w:rsidRDefault="002A0543">
            <w:pPr>
              <w:widowControl/>
              <w:adjustRightInd w:val="0"/>
              <w:snapToGrid w:val="0"/>
              <w:jc w:val="center"/>
              <w:rPr>
                <w:rFonts w:ascii="宋体" w:hAnsi="宋体" w:cs="仿宋"/>
                <w:sz w:val="24"/>
              </w:rPr>
            </w:pPr>
          </w:p>
        </w:tc>
        <w:tc>
          <w:tcPr>
            <w:tcW w:w="5502" w:type="dxa"/>
            <w:vAlign w:val="center"/>
          </w:tcPr>
          <w:p w:rsidR="002A0543" w:rsidRDefault="0034185A">
            <w:pPr>
              <w:spacing w:line="360" w:lineRule="exact"/>
              <w:rPr>
                <w:rFonts w:ascii="宋体" w:hAnsi="宋体" w:cs="仿宋"/>
                <w:sz w:val="24"/>
              </w:rPr>
            </w:pPr>
            <w:r>
              <w:rPr>
                <w:rFonts w:ascii="宋体" w:hAnsi="宋体" w:cs="仿宋" w:hint="eastAsia"/>
                <w:sz w:val="24"/>
              </w:rPr>
              <w:t>对项目关键施工技术、工艺表述的深入程度；对工程项目实施重点、难点认识的清晰程度；对项目关键施工技术、工艺解决方案和优化方案的合理程度，方案经济性、安全性、科学性、先进性；对工程项目实施重点、难点解决方案和优化方案的合理程度，方案经济性、安全性、科学性、先进性。优秀得</w:t>
            </w:r>
            <w:r>
              <w:rPr>
                <w:rFonts w:ascii="宋体" w:hAnsi="宋体" w:cs="仿宋" w:hint="eastAsia"/>
                <w:sz w:val="24"/>
              </w:rPr>
              <w:t>3</w:t>
            </w:r>
            <w:r>
              <w:rPr>
                <w:rFonts w:ascii="宋体" w:hAnsi="宋体" w:cs="仿宋" w:hint="eastAsia"/>
                <w:sz w:val="24"/>
              </w:rPr>
              <w:t>分，良好得</w:t>
            </w:r>
            <w:r>
              <w:rPr>
                <w:rFonts w:ascii="宋体" w:hAnsi="宋体" w:cs="仿宋" w:hint="eastAsia"/>
                <w:sz w:val="24"/>
              </w:rPr>
              <w:t>2</w:t>
            </w:r>
            <w:r>
              <w:rPr>
                <w:rFonts w:ascii="宋体" w:hAnsi="宋体" w:cs="仿宋" w:hint="eastAsia"/>
                <w:sz w:val="24"/>
              </w:rPr>
              <w:t>分，差得</w:t>
            </w:r>
            <w:r>
              <w:rPr>
                <w:rFonts w:ascii="宋体" w:hAnsi="宋体" w:cs="仿宋" w:hint="eastAsia"/>
                <w:sz w:val="24"/>
              </w:rPr>
              <w:t>1</w:t>
            </w:r>
            <w:r>
              <w:rPr>
                <w:rFonts w:ascii="宋体" w:hAnsi="宋体" w:cs="仿宋" w:hint="eastAsia"/>
                <w:sz w:val="24"/>
              </w:rPr>
              <w:t>分，未提供不得分。</w:t>
            </w:r>
          </w:p>
        </w:tc>
        <w:tc>
          <w:tcPr>
            <w:tcW w:w="606" w:type="dxa"/>
          </w:tcPr>
          <w:p w:rsidR="002A0543" w:rsidRDefault="002A0543">
            <w:pPr>
              <w:widowControl/>
              <w:jc w:val="left"/>
              <w:rPr>
                <w:rFonts w:ascii="宋体" w:hAnsi="宋体"/>
                <w:kern w:val="0"/>
                <w:sz w:val="24"/>
              </w:rPr>
            </w:pPr>
          </w:p>
        </w:tc>
      </w:tr>
      <w:tr w:rsidR="002A0543">
        <w:trPr>
          <w:trHeight w:val="259"/>
          <w:jc w:val="center"/>
        </w:trPr>
        <w:tc>
          <w:tcPr>
            <w:tcW w:w="1345" w:type="dxa"/>
            <w:vMerge/>
            <w:vAlign w:val="center"/>
          </w:tcPr>
          <w:p w:rsidR="002A0543" w:rsidRDefault="002A0543">
            <w:pPr>
              <w:widowControl/>
              <w:adjustRightInd w:val="0"/>
              <w:snapToGrid w:val="0"/>
              <w:jc w:val="center"/>
              <w:rPr>
                <w:rFonts w:ascii="宋体" w:hAnsi="宋体" w:cs="仿宋"/>
                <w:sz w:val="24"/>
              </w:rPr>
            </w:pPr>
          </w:p>
        </w:tc>
        <w:tc>
          <w:tcPr>
            <w:tcW w:w="1329" w:type="dxa"/>
            <w:vMerge/>
            <w:vAlign w:val="center"/>
          </w:tcPr>
          <w:p w:rsidR="002A0543" w:rsidRDefault="002A0543">
            <w:pPr>
              <w:widowControl/>
              <w:adjustRightInd w:val="0"/>
              <w:snapToGrid w:val="0"/>
              <w:jc w:val="center"/>
              <w:rPr>
                <w:rFonts w:ascii="宋体" w:hAnsi="宋体" w:cs="仿宋"/>
                <w:sz w:val="24"/>
              </w:rPr>
            </w:pPr>
          </w:p>
        </w:tc>
        <w:tc>
          <w:tcPr>
            <w:tcW w:w="5502" w:type="dxa"/>
            <w:vAlign w:val="center"/>
          </w:tcPr>
          <w:p w:rsidR="002A0543" w:rsidRDefault="0034185A">
            <w:pPr>
              <w:spacing w:line="360" w:lineRule="exact"/>
              <w:rPr>
                <w:rFonts w:ascii="宋体" w:hAnsi="宋体" w:cs="仿宋"/>
                <w:sz w:val="24"/>
              </w:rPr>
            </w:pPr>
            <w:r>
              <w:rPr>
                <w:rFonts w:ascii="宋体" w:hAnsi="宋体" w:cs="仿宋" w:hint="eastAsia"/>
                <w:sz w:val="24"/>
              </w:rPr>
              <w:t>针对项目实际情况，有相应的安全目标和保证措施，措施完整性、可行性、科学性；适用规范正确，满足规范要求；针对项目实际情况，有相应的文明目标和保证措施，措施完整性、可行性、科学性。优秀得</w:t>
            </w:r>
            <w:r>
              <w:rPr>
                <w:rFonts w:ascii="宋体" w:hAnsi="宋体" w:cs="仿宋" w:hint="eastAsia"/>
                <w:sz w:val="24"/>
              </w:rPr>
              <w:t>3</w:t>
            </w:r>
            <w:r>
              <w:rPr>
                <w:rFonts w:ascii="宋体" w:hAnsi="宋体" w:cs="仿宋" w:hint="eastAsia"/>
                <w:sz w:val="24"/>
              </w:rPr>
              <w:t>分，良好得</w:t>
            </w:r>
            <w:r>
              <w:rPr>
                <w:rFonts w:ascii="宋体" w:hAnsi="宋体" w:cs="仿宋" w:hint="eastAsia"/>
                <w:sz w:val="24"/>
              </w:rPr>
              <w:t>2</w:t>
            </w:r>
            <w:r>
              <w:rPr>
                <w:rFonts w:ascii="宋体" w:hAnsi="宋体" w:cs="仿宋" w:hint="eastAsia"/>
                <w:sz w:val="24"/>
              </w:rPr>
              <w:t>分，差得</w:t>
            </w:r>
            <w:r>
              <w:rPr>
                <w:rFonts w:ascii="宋体" w:hAnsi="宋体" w:cs="仿宋" w:hint="eastAsia"/>
                <w:sz w:val="24"/>
              </w:rPr>
              <w:t>1</w:t>
            </w:r>
            <w:r>
              <w:rPr>
                <w:rFonts w:ascii="宋体" w:hAnsi="宋体" w:cs="仿宋" w:hint="eastAsia"/>
                <w:sz w:val="24"/>
              </w:rPr>
              <w:t>分，未提供不得分。</w:t>
            </w:r>
          </w:p>
        </w:tc>
        <w:tc>
          <w:tcPr>
            <w:tcW w:w="606" w:type="dxa"/>
          </w:tcPr>
          <w:p w:rsidR="002A0543" w:rsidRDefault="002A0543">
            <w:pPr>
              <w:widowControl/>
              <w:jc w:val="left"/>
              <w:rPr>
                <w:rFonts w:ascii="宋体" w:hAnsi="宋体"/>
                <w:kern w:val="0"/>
                <w:sz w:val="24"/>
              </w:rPr>
            </w:pPr>
          </w:p>
        </w:tc>
      </w:tr>
      <w:tr w:rsidR="002A0543">
        <w:trPr>
          <w:trHeight w:val="259"/>
          <w:jc w:val="center"/>
        </w:trPr>
        <w:tc>
          <w:tcPr>
            <w:tcW w:w="1345" w:type="dxa"/>
            <w:vMerge/>
            <w:vAlign w:val="center"/>
          </w:tcPr>
          <w:p w:rsidR="002A0543" w:rsidRDefault="002A0543">
            <w:pPr>
              <w:widowControl/>
              <w:adjustRightInd w:val="0"/>
              <w:snapToGrid w:val="0"/>
              <w:jc w:val="center"/>
              <w:rPr>
                <w:rFonts w:ascii="宋体" w:hAnsi="宋体" w:cs="仿宋"/>
                <w:sz w:val="24"/>
              </w:rPr>
            </w:pPr>
          </w:p>
        </w:tc>
        <w:tc>
          <w:tcPr>
            <w:tcW w:w="1329" w:type="dxa"/>
            <w:vMerge/>
            <w:vAlign w:val="center"/>
          </w:tcPr>
          <w:p w:rsidR="002A0543" w:rsidRDefault="002A0543">
            <w:pPr>
              <w:widowControl/>
              <w:adjustRightInd w:val="0"/>
              <w:snapToGrid w:val="0"/>
              <w:jc w:val="center"/>
              <w:rPr>
                <w:rFonts w:ascii="宋体" w:hAnsi="宋体" w:cs="仿宋"/>
                <w:sz w:val="24"/>
              </w:rPr>
            </w:pPr>
          </w:p>
        </w:tc>
        <w:tc>
          <w:tcPr>
            <w:tcW w:w="5502" w:type="dxa"/>
            <w:vAlign w:val="center"/>
          </w:tcPr>
          <w:p w:rsidR="002A0543" w:rsidRDefault="0034185A">
            <w:pPr>
              <w:spacing w:line="360" w:lineRule="exact"/>
              <w:rPr>
                <w:rFonts w:ascii="宋体" w:hAnsi="宋体" w:cs="仿宋"/>
                <w:sz w:val="24"/>
              </w:rPr>
            </w:pPr>
            <w:r>
              <w:rPr>
                <w:rFonts w:ascii="宋体" w:hAnsi="宋体" w:cs="仿宋" w:hint="eastAsia"/>
                <w:sz w:val="24"/>
              </w:rPr>
              <w:t>质量承诺明确；针对项目实际情况，有相应质量保证措施，措施完整性、可行性、科学性。优秀得</w:t>
            </w:r>
            <w:r>
              <w:rPr>
                <w:rFonts w:ascii="宋体" w:hAnsi="宋体" w:cs="仿宋" w:hint="eastAsia"/>
                <w:sz w:val="24"/>
              </w:rPr>
              <w:t>3</w:t>
            </w:r>
            <w:r>
              <w:rPr>
                <w:rFonts w:ascii="宋体" w:hAnsi="宋体" w:cs="仿宋" w:hint="eastAsia"/>
                <w:sz w:val="24"/>
              </w:rPr>
              <w:t>分，良好得</w:t>
            </w:r>
            <w:r>
              <w:rPr>
                <w:rFonts w:ascii="宋体" w:hAnsi="宋体" w:cs="仿宋" w:hint="eastAsia"/>
                <w:sz w:val="24"/>
              </w:rPr>
              <w:t>2</w:t>
            </w:r>
            <w:r>
              <w:rPr>
                <w:rFonts w:ascii="宋体" w:hAnsi="宋体" w:cs="仿宋" w:hint="eastAsia"/>
                <w:sz w:val="24"/>
              </w:rPr>
              <w:t>分，差得</w:t>
            </w:r>
            <w:r>
              <w:rPr>
                <w:rFonts w:ascii="宋体" w:hAnsi="宋体" w:cs="仿宋" w:hint="eastAsia"/>
                <w:sz w:val="24"/>
              </w:rPr>
              <w:t>1</w:t>
            </w:r>
            <w:r>
              <w:rPr>
                <w:rFonts w:ascii="宋体" w:hAnsi="宋体" w:cs="仿宋" w:hint="eastAsia"/>
                <w:sz w:val="24"/>
              </w:rPr>
              <w:t>分，未提供不得分。</w:t>
            </w:r>
          </w:p>
        </w:tc>
        <w:tc>
          <w:tcPr>
            <w:tcW w:w="606" w:type="dxa"/>
          </w:tcPr>
          <w:p w:rsidR="002A0543" w:rsidRDefault="002A0543">
            <w:pPr>
              <w:widowControl/>
              <w:jc w:val="left"/>
              <w:rPr>
                <w:rFonts w:ascii="宋体" w:hAnsi="宋体"/>
                <w:kern w:val="0"/>
                <w:sz w:val="24"/>
              </w:rPr>
            </w:pPr>
          </w:p>
        </w:tc>
      </w:tr>
      <w:tr w:rsidR="002A0543">
        <w:trPr>
          <w:trHeight w:val="259"/>
          <w:jc w:val="center"/>
        </w:trPr>
        <w:tc>
          <w:tcPr>
            <w:tcW w:w="1345" w:type="dxa"/>
            <w:vMerge/>
            <w:vAlign w:val="center"/>
          </w:tcPr>
          <w:p w:rsidR="002A0543" w:rsidRDefault="002A0543">
            <w:pPr>
              <w:widowControl/>
              <w:adjustRightInd w:val="0"/>
              <w:snapToGrid w:val="0"/>
              <w:jc w:val="center"/>
              <w:rPr>
                <w:rFonts w:ascii="宋体" w:hAnsi="宋体" w:cs="仿宋"/>
                <w:sz w:val="24"/>
              </w:rPr>
            </w:pPr>
          </w:p>
        </w:tc>
        <w:tc>
          <w:tcPr>
            <w:tcW w:w="1329" w:type="dxa"/>
            <w:vMerge/>
            <w:vAlign w:val="center"/>
          </w:tcPr>
          <w:p w:rsidR="002A0543" w:rsidRDefault="002A0543">
            <w:pPr>
              <w:widowControl/>
              <w:adjustRightInd w:val="0"/>
              <w:snapToGrid w:val="0"/>
              <w:jc w:val="center"/>
              <w:rPr>
                <w:rFonts w:ascii="宋体" w:hAnsi="宋体" w:cs="仿宋"/>
                <w:sz w:val="24"/>
              </w:rPr>
            </w:pPr>
          </w:p>
        </w:tc>
        <w:tc>
          <w:tcPr>
            <w:tcW w:w="5502" w:type="dxa"/>
            <w:vAlign w:val="center"/>
          </w:tcPr>
          <w:p w:rsidR="002A0543" w:rsidRDefault="0034185A">
            <w:pPr>
              <w:spacing w:line="360" w:lineRule="exact"/>
              <w:rPr>
                <w:rFonts w:ascii="宋体" w:hAnsi="宋体" w:cs="仿宋"/>
                <w:sz w:val="24"/>
              </w:rPr>
            </w:pPr>
            <w:r>
              <w:rPr>
                <w:rFonts w:ascii="宋体" w:hAnsi="宋体" w:cs="仿宋" w:hint="eastAsia"/>
                <w:sz w:val="24"/>
              </w:rPr>
              <w:t>针对项目实际情况，有相应的标准化工</w:t>
            </w:r>
            <w:proofErr w:type="gramStart"/>
            <w:r>
              <w:rPr>
                <w:rFonts w:ascii="宋体" w:hAnsi="宋体" w:cs="仿宋" w:hint="eastAsia"/>
                <w:sz w:val="24"/>
              </w:rPr>
              <w:t>地目标</w:t>
            </w:r>
            <w:proofErr w:type="gramEnd"/>
            <w:r>
              <w:rPr>
                <w:rFonts w:ascii="宋体" w:hAnsi="宋体" w:cs="仿宋" w:hint="eastAsia"/>
                <w:sz w:val="24"/>
              </w:rPr>
              <w:t>和保证措施，措施完整性、可行性、科学性；有相应的环保目标和保证措施，措施完整性、可行性、科学性。优秀得</w:t>
            </w:r>
            <w:r>
              <w:rPr>
                <w:rFonts w:ascii="宋体" w:hAnsi="宋体" w:cs="仿宋" w:hint="eastAsia"/>
                <w:sz w:val="24"/>
              </w:rPr>
              <w:t>3</w:t>
            </w:r>
            <w:r>
              <w:rPr>
                <w:rFonts w:ascii="宋体" w:hAnsi="宋体" w:cs="仿宋" w:hint="eastAsia"/>
                <w:sz w:val="24"/>
              </w:rPr>
              <w:t>分，良好得</w:t>
            </w:r>
            <w:r>
              <w:rPr>
                <w:rFonts w:ascii="宋体" w:hAnsi="宋体" w:cs="仿宋" w:hint="eastAsia"/>
                <w:sz w:val="24"/>
              </w:rPr>
              <w:t>2</w:t>
            </w:r>
            <w:r>
              <w:rPr>
                <w:rFonts w:ascii="宋体" w:hAnsi="宋体" w:cs="仿宋" w:hint="eastAsia"/>
                <w:sz w:val="24"/>
              </w:rPr>
              <w:t>分，差得</w:t>
            </w:r>
            <w:r>
              <w:rPr>
                <w:rFonts w:ascii="宋体" w:hAnsi="宋体" w:cs="仿宋" w:hint="eastAsia"/>
                <w:sz w:val="24"/>
              </w:rPr>
              <w:t>1</w:t>
            </w:r>
            <w:r>
              <w:rPr>
                <w:rFonts w:ascii="宋体" w:hAnsi="宋体" w:cs="仿宋" w:hint="eastAsia"/>
                <w:sz w:val="24"/>
              </w:rPr>
              <w:t>分，未提供不得分。</w:t>
            </w:r>
          </w:p>
        </w:tc>
        <w:tc>
          <w:tcPr>
            <w:tcW w:w="606" w:type="dxa"/>
          </w:tcPr>
          <w:p w:rsidR="002A0543" w:rsidRDefault="002A0543">
            <w:pPr>
              <w:widowControl/>
              <w:jc w:val="left"/>
              <w:rPr>
                <w:rFonts w:ascii="宋体" w:hAnsi="宋体"/>
                <w:kern w:val="0"/>
                <w:sz w:val="24"/>
              </w:rPr>
            </w:pPr>
          </w:p>
        </w:tc>
      </w:tr>
      <w:tr w:rsidR="002A0543">
        <w:trPr>
          <w:trHeight w:val="1257"/>
          <w:jc w:val="center"/>
        </w:trPr>
        <w:tc>
          <w:tcPr>
            <w:tcW w:w="1345" w:type="dxa"/>
            <w:vAlign w:val="center"/>
          </w:tcPr>
          <w:p w:rsidR="002A0543" w:rsidRDefault="0034185A">
            <w:pPr>
              <w:widowControl/>
              <w:adjustRightInd w:val="0"/>
              <w:snapToGrid w:val="0"/>
              <w:jc w:val="center"/>
              <w:rPr>
                <w:rFonts w:ascii="宋体" w:hAnsi="宋体" w:cs="仿宋"/>
                <w:sz w:val="24"/>
              </w:rPr>
            </w:pPr>
            <w:r>
              <w:rPr>
                <w:rFonts w:ascii="宋体" w:hAnsi="宋体" w:cs="仿宋" w:hint="eastAsia"/>
                <w:sz w:val="24"/>
              </w:rPr>
              <w:t>投标报价</w:t>
            </w:r>
          </w:p>
        </w:tc>
        <w:tc>
          <w:tcPr>
            <w:tcW w:w="1329" w:type="dxa"/>
            <w:vAlign w:val="center"/>
          </w:tcPr>
          <w:p w:rsidR="002A0543" w:rsidRDefault="0034185A">
            <w:pPr>
              <w:widowControl/>
              <w:adjustRightInd w:val="0"/>
              <w:snapToGrid w:val="0"/>
              <w:jc w:val="center"/>
              <w:rPr>
                <w:rFonts w:ascii="宋体" w:hAnsi="宋体" w:cs="仿宋"/>
                <w:sz w:val="24"/>
              </w:rPr>
            </w:pPr>
            <w:r>
              <w:rPr>
                <w:rFonts w:ascii="宋体" w:hAnsi="宋体" w:cs="仿宋" w:hint="eastAsia"/>
                <w:sz w:val="24"/>
              </w:rPr>
              <w:t>30</w:t>
            </w:r>
            <w:r>
              <w:rPr>
                <w:rFonts w:ascii="宋体" w:hAnsi="宋体" w:cs="仿宋" w:hint="eastAsia"/>
                <w:sz w:val="24"/>
              </w:rPr>
              <w:t>分</w:t>
            </w:r>
          </w:p>
        </w:tc>
        <w:tc>
          <w:tcPr>
            <w:tcW w:w="5502" w:type="dxa"/>
            <w:vAlign w:val="center"/>
          </w:tcPr>
          <w:p w:rsidR="002A0543" w:rsidRDefault="0034185A">
            <w:pPr>
              <w:rPr>
                <w:rFonts w:ascii="宋体" w:hAnsi="宋体" w:cs="仿宋"/>
                <w:sz w:val="24"/>
              </w:rPr>
            </w:pPr>
            <w:r>
              <w:rPr>
                <w:rFonts w:ascii="宋体" w:hAnsi="宋体" w:cs="仿宋" w:hint="eastAsia"/>
                <w:sz w:val="24"/>
              </w:rPr>
              <w:t>1</w:t>
            </w:r>
            <w:r>
              <w:rPr>
                <w:rFonts w:ascii="宋体" w:hAnsi="宋体" w:cs="仿宋" w:hint="eastAsia"/>
                <w:sz w:val="24"/>
              </w:rPr>
              <w:t>、磋商基准价：评标价最低的为评标基准价。</w:t>
            </w:r>
          </w:p>
          <w:p w:rsidR="002A0543" w:rsidRDefault="0034185A">
            <w:pPr>
              <w:rPr>
                <w:rFonts w:ascii="宋体" w:hAnsi="宋体"/>
                <w:kern w:val="0"/>
                <w:sz w:val="24"/>
              </w:rPr>
            </w:pPr>
            <w:r>
              <w:rPr>
                <w:rFonts w:ascii="宋体" w:hAnsi="宋体" w:cs="仿宋" w:hint="eastAsia"/>
                <w:sz w:val="24"/>
              </w:rPr>
              <w:t>2</w:t>
            </w:r>
            <w:r>
              <w:rPr>
                <w:rFonts w:ascii="宋体" w:hAnsi="宋体" w:cs="仿宋" w:hint="eastAsia"/>
                <w:sz w:val="24"/>
              </w:rPr>
              <w:t>、投标报价得分计算：评标价为评标基准价的得满分。其他供应商的投标报价得分统一按下列公式计算：投标报价得分</w:t>
            </w:r>
            <w:r>
              <w:rPr>
                <w:rFonts w:ascii="宋体" w:hAnsi="宋体" w:cs="仿宋" w:hint="eastAsia"/>
                <w:sz w:val="24"/>
              </w:rPr>
              <w:t>=</w:t>
            </w:r>
            <w:r>
              <w:rPr>
                <w:rFonts w:ascii="宋体" w:hAnsi="宋体" w:cs="仿宋" w:hint="eastAsia"/>
                <w:sz w:val="24"/>
              </w:rPr>
              <w:t>（磋商基准价</w:t>
            </w:r>
            <w:r>
              <w:rPr>
                <w:rFonts w:ascii="宋体" w:hAnsi="宋体" w:cs="仿宋" w:hint="eastAsia"/>
                <w:sz w:val="24"/>
              </w:rPr>
              <w:t>/</w:t>
            </w:r>
            <w:r>
              <w:rPr>
                <w:rFonts w:ascii="宋体" w:hAnsi="宋体" w:cs="仿宋" w:hint="eastAsia"/>
                <w:sz w:val="24"/>
              </w:rPr>
              <w:t>最后报价）</w:t>
            </w:r>
            <w:r>
              <w:rPr>
                <w:rFonts w:ascii="宋体" w:hAnsi="宋体" w:cs="仿宋" w:hint="eastAsia"/>
                <w:sz w:val="24"/>
              </w:rPr>
              <w:t xml:space="preserve">* </w:t>
            </w:r>
            <w:r>
              <w:rPr>
                <w:rFonts w:ascii="宋体" w:hAnsi="宋体" w:cs="仿宋" w:hint="eastAsia"/>
                <w:sz w:val="24"/>
              </w:rPr>
              <w:t>30</w:t>
            </w:r>
            <w:r>
              <w:rPr>
                <w:rFonts w:ascii="宋体" w:hAnsi="宋体" w:cs="仿宋" w:hint="eastAsia"/>
                <w:sz w:val="24"/>
              </w:rPr>
              <w:t>；（保留小数点后两位，第三位四舍五入）。</w:t>
            </w:r>
          </w:p>
        </w:tc>
        <w:tc>
          <w:tcPr>
            <w:tcW w:w="606" w:type="dxa"/>
            <w:vAlign w:val="center"/>
          </w:tcPr>
          <w:p w:rsidR="002A0543" w:rsidRDefault="002A0543">
            <w:pPr>
              <w:spacing w:line="240" w:lineRule="atLeast"/>
              <w:ind w:left="-38"/>
              <w:rPr>
                <w:rFonts w:ascii="宋体" w:hAnsi="宋体"/>
                <w:color w:val="FF0000"/>
                <w:sz w:val="24"/>
              </w:rPr>
            </w:pPr>
          </w:p>
        </w:tc>
      </w:tr>
    </w:tbl>
    <w:p w:rsidR="002A0543" w:rsidRDefault="0034185A">
      <w:pPr>
        <w:tabs>
          <w:tab w:val="left" w:pos="425"/>
        </w:tabs>
        <w:spacing w:line="500" w:lineRule="exact"/>
        <w:ind w:firstLine="200"/>
        <w:jc w:val="left"/>
        <w:rPr>
          <w:rFonts w:ascii="仿宋" w:eastAsia="仿宋" w:hAnsi="仿宋"/>
          <w:b/>
          <w:bCs/>
          <w:kern w:val="0"/>
          <w:sz w:val="28"/>
          <w:szCs w:val="28"/>
        </w:rPr>
      </w:pPr>
      <w:r>
        <w:rPr>
          <w:rFonts w:ascii="仿宋" w:eastAsia="仿宋" w:hAnsi="仿宋" w:hint="eastAsia"/>
          <w:b/>
          <w:sz w:val="28"/>
          <w:szCs w:val="28"/>
        </w:rPr>
        <w:t>八、</w:t>
      </w:r>
      <w:r>
        <w:rPr>
          <w:rFonts w:ascii="仿宋" w:eastAsia="仿宋" w:hAnsi="仿宋" w:hint="eastAsia"/>
          <w:b/>
          <w:bCs/>
          <w:kern w:val="0"/>
          <w:sz w:val="28"/>
          <w:szCs w:val="28"/>
        </w:rPr>
        <w:t>其它</w:t>
      </w:r>
    </w:p>
    <w:p w:rsidR="002A0543" w:rsidRDefault="0034185A">
      <w:pPr>
        <w:tabs>
          <w:tab w:val="left" w:pos="425"/>
        </w:tabs>
        <w:spacing w:line="5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投标人</w:t>
      </w:r>
      <w:r>
        <w:rPr>
          <w:rFonts w:ascii="仿宋" w:eastAsia="仿宋" w:hAnsi="仿宋" w:hint="eastAsia"/>
          <w:sz w:val="28"/>
          <w:szCs w:val="28"/>
        </w:rPr>
        <w:t>栽植的品种、规格等要严格按照附件和相关规范要求施工，附件交代不明确或有疑义时要及时与</w:t>
      </w:r>
      <w:r>
        <w:rPr>
          <w:rFonts w:ascii="仿宋" w:eastAsia="仿宋" w:hAnsi="仿宋" w:hint="eastAsia"/>
          <w:sz w:val="28"/>
          <w:szCs w:val="28"/>
        </w:rPr>
        <w:t>招标人</w:t>
      </w:r>
      <w:r>
        <w:rPr>
          <w:rFonts w:ascii="仿宋" w:eastAsia="仿宋" w:hAnsi="仿宋" w:hint="eastAsia"/>
          <w:sz w:val="28"/>
          <w:szCs w:val="28"/>
        </w:rPr>
        <w:t>沟通，经</w:t>
      </w:r>
      <w:r>
        <w:rPr>
          <w:rFonts w:ascii="仿宋" w:eastAsia="仿宋" w:hAnsi="仿宋" w:hint="eastAsia"/>
          <w:sz w:val="28"/>
          <w:szCs w:val="28"/>
        </w:rPr>
        <w:t>招标人</w:t>
      </w:r>
      <w:r>
        <w:rPr>
          <w:rFonts w:ascii="仿宋" w:eastAsia="仿宋" w:hAnsi="仿宋" w:hint="eastAsia"/>
          <w:sz w:val="28"/>
          <w:szCs w:val="28"/>
        </w:rPr>
        <w:t>批</w:t>
      </w:r>
      <w:r>
        <w:rPr>
          <w:rFonts w:ascii="仿宋" w:eastAsia="仿宋" w:hAnsi="仿宋" w:hint="eastAsia"/>
          <w:sz w:val="28"/>
          <w:szCs w:val="28"/>
        </w:rPr>
        <w:lastRenderedPageBreak/>
        <w:t>复同意后方可继续施工；栽植的树木要求支架支撑要稳固可靠、整齐美观</w:t>
      </w:r>
      <w:r>
        <w:rPr>
          <w:rFonts w:ascii="仿宋" w:eastAsia="仿宋" w:hAnsi="仿宋" w:hint="eastAsia"/>
          <w:sz w:val="28"/>
          <w:szCs w:val="28"/>
        </w:rPr>
        <w:t>。</w:t>
      </w:r>
    </w:p>
    <w:p w:rsidR="002A0543" w:rsidRDefault="0034185A">
      <w:pPr>
        <w:tabs>
          <w:tab w:val="left" w:pos="425"/>
        </w:tabs>
        <w:spacing w:line="5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、规范施工、苗木全冠修剪、抽枝，法</w:t>
      </w:r>
      <w:proofErr w:type="gramStart"/>
      <w:r>
        <w:rPr>
          <w:rFonts w:ascii="仿宋" w:eastAsia="仿宋" w:hAnsi="仿宋" w:hint="eastAsia"/>
          <w:sz w:val="28"/>
          <w:szCs w:val="28"/>
        </w:rPr>
        <w:t>梧</w:t>
      </w:r>
      <w:proofErr w:type="gramEnd"/>
      <w:r>
        <w:rPr>
          <w:rFonts w:ascii="仿宋" w:eastAsia="仿宋" w:hAnsi="仿宋" w:hint="eastAsia"/>
          <w:sz w:val="28"/>
          <w:szCs w:val="28"/>
        </w:rPr>
        <w:t>4.5</w:t>
      </w:r>
      <w:r>
        <w:rPr>
          <w:rFonts w:ascii="仿宋" w:eastAsia="仿宋" w:hAnsi="仿宋" w:hint="eastAsia"/>
          <w:sz w:val="28"/>
          <w:szCs w:val="28"/>
        </w:rPr>
        <w:t>米截杆，养护一年，苗木成活率须达到</w:t>
      </w:r>
      <w:r>
        <w:rPr>
          <w:rFonts w:ascii="仿宋" w:eastAsia="仿宋" w:hAnsi="仿宋" w:hint="eastAsia"/>
          <w:sz w:val="28"/>
          <w:szCs w:val="28"/>
        </w:rPr>
        <w:t>85%</w:t>
      </w:r>
      <w:r>
        <w:rPr>
          <w:rFonts w:ascii="仿宋" w:eastAsia="仿宋" w:hAnsi="仿宋" w:hint="eastAsia"/>
          <w:sz w:val="28"/>
          <w:szCs w:val="28"/>
        </w:rPr>
        <w:t>。；如死亡率超过</w:t>
      </w:r>
      <w:r>
        <w:rPr>
          <w:rFonts w:ascii="仿宋" w:eastAsia="仿宋" w:hAnsi="仿宋" w:hint="eastAsia"/>
          <w:sz w:val="28"/>
          <w:szCs w:val="28"/>
        </w:rPr>
        <w:t>15%</w:t>
      </w:r>
      <w:r>
        <w:rPr>
          <w:rFonts w:ascii="仿宋" w:eastAsia="仿宋" w:hAnsi="仿宋" w:hint="eastAsia"/>
          <w:sz w:val="28"/>
          <w:szCs w:val="28"/>
        </w:rPr>
        <w:t>，扣除死亡苗木</w:t>
      </w:r>
      <w:r>
        <w:rPr>
          <w:rFonts w:ascii="仿宋" w:eastAsia="仿宋" w:hAnsi="仿宋" w:hint="eastAsia"/>
          <w:sz w:val="28"/>
          <w:szCs w:val="28"/>
        </w:rPr>
        <w:t>3</w:t>
      </w:r>
      <w:r>
        <w:rPr>
          <w:rFonts w:ascii="仿宋" w:eastAsia="仿宋" w:hAnsi="仿宋" w:hint="eastAsia"/>
          <w:sz w:val="28"/>
          <w:szCs w:val="28"/>
        </w:rPr>
        <w:t>倍移植费用。</w:t>
      </w:r>
    </w:p>
    <w:p w:rsidR="002A0543" w:rsidRDefault="0034185A">
      <w:pPr>
        <w:tabs>
          <w:tab w:val="left" w:pos="425"/>
        </w:tabs>
        <w:spacing w:line="500" w:lineRule="exact"/>
        <w:ind w:firstLine="20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3</w:t>
      </w:r>
      <w:r>
        <w:rPr>
          <w:rFonts w:ascii="仿宋" w:eastAsia="仿宋" w:hAnsi="仿宋" w:hint="eastAsia"/>
          <w:sz w:val="28"/>
          <w:szCs w:val="28"/>
        </w:rPr>
        <w:t>、遵守校保卫处规定</w:t>
      </w:r>
      <w:r>
        <w:rPr>
          <w:rFonts w:ascii="仿宋" w:eastAsia="仿宋" w:hAnsi="仿宋" w:hint="eastAsia"/>
          <w:sz w:val="28"/>
          <w:szCs w:val="28"/>
        </w:rPr>
        <w:t>,</w:t>
      </w:r>
      <w:r>
        <w:rPr>
          <w:rFonts w:ascii="仿宋" w:eastAsia="仿宋" w:hAnsi="仿宋" w:hint="eastAsia"/>
          <w:sz w:val="28"/>
          <w:szCs w:val="28"/>
        </w:rPr>
        <w:t>制定严格的安全运输措施，严格履行进出校门的疫情防控规定，确保正常的教学秩序和师生的安全，如出现安全事故等意外</w:t>
      </w:r>
      <w:r>
        <w:rPr>
          <w:rFonts w:ascii="仿宋" w:eastAsia="仿宋" w:hAnsi="仿宋" w:hint="eastAsia"/>
          <w:sz w:val="28"/>
          <w:szCs w:val="28"/>
        </w:rPr>
        <w:t>,</w:t>
      </w:r>
      <w:r>
        <w:rPr>
          <w:rFonts w:ascii="仿宋" w:eastAsia="仿宋" w:hAnsi="仿宋" w:hint="eastAsia"/>
          <w:sz w:val="28"/>
          <w:szCs w:val="28"/>
        </w:rPr>
        <w:t>一切责任则由中标单位负责。</w:t>
      </w:r>
    </w:p>
    <w:p w:rsidR="002A0543" w:rsidRDefault="0034185A">
      <w:pPr>
        <w:tabs>
          <w:tab w:val="left" w:pos="210"/>
          <w:tab w:val="left" w:pos="315"/>
          <w:tab w:val="left" w:pos="945"/>
        </w:tabs>
        <w:spacing w:line="50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、施工过程中，施工单位用水用电费用按</w:t>
      </w:r>
      <w:r>
        <w:rPr>
          <w:rFonts w:ascii="仿宋" w:eastAsia="仿宋" w:hAnsi="仿宋" w:hint="eastAsia"/>
          <w:sz w:val="28"/>
          <w:szCs w:val="28"/>
        </w:rPr>
        <w:t>工程总造价的</w:t>
      </w:r>
      <w:r>
        <w:rPr>
          <w:rFonts w:ascii="仿宋" w:eastAsia="仿宋" w:hAnsi="仿宋" w:hint="eastAsia"/>
          <w:sz w:val="28"/>
          <w:szCs w:val="28"/>
        </w:rPr>
        <w:t>7</w:t>
      </w:r>
      <w:r>
        <w:rPr>
          <w:rFonts w:ascii="仿宋" w:eastAsia="仿宋" w:hAnsi="仿宋" w:hint="eastAsia"/>
          <w:sz w:val="28"/>
          <w:szCs w:val="28"/>
        </w:rPr>
        <w:t>‰收取。投标单位应将所需的费用列入报价，工程决算时不再办理水电价格的调整。本项目施工场地位于教学区，人员高度集中，施工过程中不得扰民。</w:t>
      </w:r>
    </w:p>
    <w:p w:rsidR="002A0543" w:rsidRDefault="0034185A">
      <w:pPr>
        <w:tabs>
          <w:tab w:val="left" w:pos="210"/>
          <w:tab w:val="left" w:pos="315"/>
          <w:tab w:val="left" w:pos="945"/>
        </w:tabs>
        <w:spacing w:line="50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、标书内单项误差</w:t>
      </w:r>
      <w:r>
        <w:rPr>
          <w:rFonts w:ascii="宋体" w:hAnsi="宋体" w:hint="eastAsia"/>
          <w:sz w:val="28"/>
          <w:szCs w:val="28"/>
        </w:rPr>
        <w:t>±</w:t>
      </w:r>
      <w:r>
        <w:rPr>
          <w:rFonts w:ascii="仿宋" w:eastAsia="仿宋" w:hAnsi="仿宋" w:hint="eastAsia"/>
          <w:sz w:val="28"/>
          <w:szCs w:val="28"/>
        </w:rPr>
        <w:t>5%</w:t>
      </w:r>
      <w:r>
        <w:rPr>
          <w:rFonts w:ascii="仿宋" w:eastAsia="仿宋" w:hAnsi="仿宋" w:hint="eastAsia"/>
          <w:sz w:val="28"/>
          <w:szCs w:val="28"/>
        </w:rPr>
        <w:t>不予调整，超出该范围的，仅对超出部分进行调整，调整执行投标报价。设计变更或者招标人要求调整的，如清单中无类似项，按照</w:t>
      </w:r>
      <w:r>
        <w:rPr>
          <w:rFonts w:ascii="仿宋" w:eastAsia="仿宋" w:hAnsi="仿宋" w:hint="eastAsia"/>
          <w:sz w:val="28"/>
          <w:szCs w:val="28"/>
        </w:rPr>
        <w:t>2018</w:t>
      </w:r>
      <w:r>
        <w:rPr>
          <w:rFonts w:ascii="仿宋" w:eastAsia="仿宋" w:hAnsi="仿宋" w:hint="eastAsia"/>
          <w:sz w:val="28"/>
          <w:szCs w:val="28"/>
        </w:rPr>
        <w:t>工程量清单计价规范，根据中标折扣率计算，定额人工</w:t>
      </w:r>
      <w:proofErr w:type="gramStart"/>
      <w:r>
        <w:rPr>
          <w:rFonts w:ascii="仿宋" w:eastAsia="仿宋" w:hAnsi="仿宋" w:hint="eastAsia"/>
          <w:sz w:val="28"/>
          <w:szCs w:val="28"/>
        </w:rPr>
        <w:t>费按照</w:t>
      </w:r>
      <w:proofErr w:type="gramEnd"/>
      <w:r>
        <w:rPr>
          <w:rFonts w:ascii="仿宋" w:eastAsia="仿宋" w:hAnsi="仿宋" w:hint="eastAsia"/>
          <w:sz w:val="28"/>
          <w:szCs w:val="28"/>
        </w:rPr>
        <w:t>1</w:t>
      </w:r>
      <w:r>
        <w:rPr>
          <w:rFonts w:ascii="仿宋" w:eastAsia="仿宋" w:hAnsi="仿宋" w:hint="eastAsia"/>
          <w:sz w:val="28"/>
          <w:szCs w:val="28"/>
        </w:rPr>
        <w:t>63</w:t>
      </w:r>
      <w:r>
        <w:rPr>
          <w:rFonts w:ascii="仿宋" w:eastAsia="仿宋" w:hAnsi="仿宋" w:hint="eastAsia"/>
          <w:sz w:val="28"/>
          <w:szCs w:val="28"/>
        </w:rPr>
        <w:t>元</w:t>
      </w:r>
      <w:r>
        <w:rPr>
          <w:rFonts w:ascii="仿宋" w:eastAsia="仿宋" w:hAnsi="仿宋" w:hint="eastAsia"/>
          <w:sz w:val="28"/>
          <w:szCs w:val="28"/>
        </w:rPr>
        <w:t>/</w:t>
      </w:r>
      <w:r>
        <w:rPr>
          <w:rFonts w:ascii="仿宋" w:eastAsia="仿宋" w:hAnsi="仿宋" w:hint="eastAsia"/>
          <w:sz w:val="28"/>
          <w:szCs w:val="28"/>
        </w:rPr>
        <w:t>工日计，施工过程中不调整。</w:t>
      </w:r>
    </w:p>
    <w:p w:rsidR="002A0543" w:rsidRDefault="0034185A">
      <w:pPr>
        <w:tabs>
          <w:tab w:val="left" w:pos="210"/>
          <w:tab w:val="left" w:pos="315"/>
          <w:tab w:val="left" w:pos="945"/>
        </w:tabs>
        <w:spacing w:line="500" w:lineRule="exa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、投标人可勘察现场，如果招标人提供的清单出现</w:t>
      </w:r>
      <w:proofErr w:type="gramStart"/>
      <w:r>
        <w:rPr>
          <w:rFonts w:ascii="仿宋" w:eastAsia="仿宋" w:hAnsi="仿宋" w:hint="eastAsia"/>
          <w:sz w:val="28"/>
          <w:szCs w:val="28"/>
        </w:rPr>
        <w:t>漏项且无法</w:t>
      </w:r>
      <w:proofErr w:type="gramEnd"/>
      <w:r>
        <w:rPr>
          <w:rFonts w:ascii="仿宋" w:eastAsia="仿宋" w:hAnsi="仿宋" w:hint="eastAsia"/>
          <w:sz w:val="28"/>
          <w:szCs w:val="28"/>
        </w:rPr>
        <w:t>满足验收需要，投标人应在规定时间内提出，逾期未提出的，视为投标人的投标策略，招标人不予以增项。投标人应明确招标文件要求的材料品牌、质量标准。</w:t>
      </w:r>
    </w:p>
    <w:p w:rsidR="002A0543" w:rsidRDefault="0034185A">
      <w:pPr>
        <w:tabs>
          <w:tab w:val="left" w:pos="210"/>
          <w:tab w:val="left" w:pos="315"/>
          <w:tab w:val="left" w:pos="945"/>
        </w:tabs>
        <w:spacing w:line="50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、本工程所涉及的招标文件疑问解答的最终解释权由安徽工程大学负责解释。</w:t>
      </w:r>
    </w:p>
    <w:p w:rsidR="002A0543" w:rsidRDefault="002A0543">
      <w:pPr>
        <w:tabs>
          <w:tab w:val="left" w:pos="210"/>
          <w:tab w:val="left" w:pos="315"/>
          <w:tab w:val="left" w:pos="945"/>
        </w:tabs>
        <w:spacing w:line="500" w:lineRule="exact"/>
        <w:ind w:firstLineChars="200" w:firstLine="560"/>
        <w:rPr>
          <w:rFonts w:ascii="仿宋" w:eastAsia="仿宋" w:hAnsi="仿宋"/>
          <w:sz w:val="28"/>
          <w:szCs w:val="28"/>
        </w:rPr>
      </w:pPr>
    </w:p>
    <w:p w:rsidR="002A0543" w:rsidRDefault="002A0543">
      <w:pPr>
        <w:tabs>
          <w:tab w:val="left" w:pos="210"/>
          <w:tab w:val="left" w:pos="315"/>
          <w:tab w:val="left" w:pos="945"/>
        </w:tabs>
        <w:spacing w:line="500" w:lineRule="exact"/>
        <w:ind w:firstLineChars="200" w:firstLine="560"/>
        <w:rPr>
          <w:rFonts w:ascii="仿宋" w:eastAsia="仿宋" w:hAnsi="仿宋"/>
          <w:sz w:val="28"/>
          <w:szCs w:val="28"/>
        </w:rPr>
      </w:pPr>
    </w:p>
    <w:p w:rsidR="002A0543" w:rsidRDefault="0034185A">
      <w:pPr>
        <w:wordWrap w:val="0"/>
        <w:spacing w:line="500" w:lineRule="exact"/>
        <w:jc w:val="right"/>
        <w:rPr>
          <w:rFonts w:ascii="仿宋" w:eastAsia="仿宋" w:hAnsi="仿宋"/>
          <w:sz w:val="28"/>
          <w:szCs w:val="28"/>
        </w:rPr>
      </w:pPr>
      <w:r>
        <w:rPr>
          <w:rFonts w:ascii="仿宋" w:eastAsia="仿宋" w:hAnsi="仿宋" w:hint="eastAsia"/>
          <w:sz w:val="28"/>
          <w:szCs w:val="28"/>
        </w:rPr>
        <w:t>安徽工程大学后勤保障处</w:t>
      </w:r>
      <w:r>
        <w:rPr>
          <w:rFonts w:ascii="仿宋" w:eastAsia="仿宋" w:hAnsi="仿宋" w:hint="eastAsia"/>
          <w:sz w:val="28"/>
          <w:szCs w:val="28"/>
        </w:rPr>
        <w:t xml:space="preserve">     </w:t>
      </w:r>
    </w:p>
    <w:p w:rsidR="002A0543" w:rsidRDefault="0034185A">
      <w:pPr>
        <w:spacing w:line="500" w:lineRule="exact"/>
        <w:ind w:firstLineChars="1800" w:firstLine="5040"/>
        <w:jc w:val="left"/>
        <w:rPr>
          <w:rFonts w:ascii="仿宋" w:eastAsia="仿宋" w:hAnsi="仿宋"/>
          <w:sz w:val="28"/>
          <w:szCs w:val="28"/>
        </w:rPr>
      </w:pPr>
      <w:r>
        <w:rPr>
          <w:rFonts w:ascii="仿宋" w:eastAsia="仿宋" w:hAnsi="仿宋" w:hint="eastAsia"/>
          <w:sz w:val="28"/>
          <w:szCs w:val="28"/>
        </w:rPr>
        <w:t>202</w:t>
      </w:r>
      <w:r>
        <w:rPr>
          <w:rFonts w:ascii="仿宋" w:eastAsia="仿宋" w:hAnsi="仿宋" w:hint="eastAsia"/>
          <w:sz w:val="28"/>
          <w:szCs w:val="28"/>
        </w:rPr>
        <w:t>2</w:t>
      </w:r>
      <w:r>
        <w:rPr>
          <w:rFonts w:ascii="仿宋" w:eastAsia="仿宋" w:hAnsi="仿宋" w:hint="eastAsia"/>
          <w:sz w:val="28"/>
          <w:szCs w:val="28"/>
        </w:rPr>
        <w:t>年</w:t>
      </w:r>
      <w:r>
        <w:rPr>
          <w:rFonts w:ascii="仿宋" w:eastAsia="仿宋" w:hAnsi="仿宋" w:hint="eastAsia"/>
          <w:sz w:val="28"/>
          <w:szCs w:val="28"/>
        </w:rPr>
        <w:t>8</w:t>
      </w:r>
      <w:r>
        <w:rPr>
          <w:rFonts w:ascii="仿宋" w:eastAsia="仿宋" w:hAnsi="仿宋" w:hint="eastAsia"/>
          <w:sz w:val="28"/>
          <w:szCs w:val="28"/>
        </w:rPr>
        <w:t>月</w:t>
      </w:r>
      <w:r>
        <w:rPr>
          <w:rFonts w:ascii="仿宋" w:eastAsia="仿宋" w:hAnsi="仿宋" w:hint="eastAsia"/>
          <w:sz w:val="28"/>
          <w:szCs w:val="28"/>
        </w:rPr>
        <w:t>30</w:t>
      </w:r>
      <w:r>
        <w:rPr>
          <w:rFonts w:ascii="仿宋" w:eastAsia="仿宋" w:hAnsi="仿宋" w:hint="eastAsia"/>
          <w:sz w:val="28"/>
          <w:szCs w:val="28"/>
        </w:rPr>
        <w:t>日</w:t>
      </w:r>
    </w:p>
    <w:sectPr w:rsidR="002A05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85A" w:rsidRDefault="0034185A" w:rsidP="00C4378B">
      <w:r>
        <w:separator/>
      </w:r>
    </w:p>
  </w:endnote>
  <w:endnote w:type="continuationSeparator" w:id="0">
    <w:p w:rsidR="0034185A" w:rsidRDefault="0034185A" w:rsidP="00C4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85A" w:rsidRDefault="0034185A" w:rsidP="00C4378B">
      <w:r>
        <w:separator/>
      </w:r>
    </w:p>
  </w:footnote>
  <w:footnote w:type="continuationSeparator" w:id="0">
    <w:p w:rsidR="0034185A" w:rsidRDefault="0034185A" w:rsidP="00C43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A2MTliY2QyMTBkYWViODFkNzVkNTRiN2U5MjEwMjQifQ=="/>
  </w:docVars>
  <w:rsids>
    <w:rsidRoot w:val="00B52687"/>
    <w:rsid w:val="0000049E"/>
    <w:rsid w:val="00000AD2"/>
    <w:rsid w:val="00005A01"/>
    <w:rsid w:val="00095ADE"/>
    <w:rsid w:val="000E2F4F"/>
    <w:rsid w:val="00101253"/>
    <w:rsid w:val="001317B4"/>
    <w:rsid w:val="001512D1"/>
    <w:rsid w:val="00162E29"/>
    <w:rsid w:val="00170BC4"/>
    <w:rsid w:val="00172353"/>
    <w:rsid w:val="0018082F"/>
    <w:rsid w:val="001B7F8A"/>
    <w:rsid w:val="001C572A"/>
    <w:rsid w:val="001D1A58"/>
    <w:rsid w:val="001F428F"/>
    <w:rsid w:val="002214E1"/>
    <w:rsid w:val="00240697"/>
    <w:rsid w:val="00277639"/>
    <w:rsid w:val="00284A6F"/>
    <w:rsid w:val="002A0543"/>
    <w:rsid w:val="0030347C"/>
    <w:rsid w:val="00314BCF"/>
    <w:rsid w:val="00337591"/>
    <w:rsid w:val="0034185A"/>
    <w:rsid w:val="003452A5"/>
    <w:rsid w:val="00356CE7"/>
    <w:rsid w:val="00375B02"/>
    <w:rsid w:val="00385AB4"/>
    <w:rsid w:val="003C57F9"/>
    <w:rsid w:val="003D60FC"/>
    <w:rsid w:val="00414CD9"/>
    <w:rsid w:val="004277C9"/>
    <w:rsid w:val="00433FD6"/>
    <w:rsid w:val="00471ABE"/>
    <w:rsid w:val="004734E1"/>
    <w:rsid w:val="004857B8"/>
    <w:rsid w:val="004B12F3"/>
    <w:rsid w:val="004C7E48"/>
    <w:rsid w:val="004D663D"/>
    <w:rsid w:val="004D69DD"/>
    <w:rsid w:val="005007AB"/>
    <w:rsid w:val="005224DF"/>
    <w:rsid w:val="00525BD0"/>
    <w:rsid w:val="0054148D"/>
    <w:rsid w:val="005445E7"/>
    <w:rsid w:val="005606A6"/>
    <w:rsid w:val="00577DC4"/>
    <w:rsid w:val="00593371"/>
    <w:rsid w:val="005A2649"/>
    <w:rsid w:val="005B27DC"/>
    <w:rsid w:val="005D566B"/>
    <w:rsid w:val="005D5BB4"/>
    <w:rsid w:val="006300EE"/>
    <w:rsid w:val="006303FB"/>
    <w:rsid w:val="006440C9"/>
    <w:rsid w:val="00654C0A"/>
    <w:rsid w:val="00664B7B"/>
    <w:rsid w:val="0068217D"/>
    <w:rsid w:val="006A0852"/>
    <w:rsid w:val="006E317C"/>
    <w:rsid w:val="00705FA7"/>
    <w:rsid w:val="00735F2A"/>
    <w:rsid w:val="00745180"/>
    <w:rsid w:val="00791C65"/>
    <w:rsid w:val="007A1C0F"/>
    <w:rsid w:val="007D08B2"/>
    <w:rsid w:val="007E0D15"/>
    <w:rsid w:val="007F4915"/>
    <w:rsid w:val="007F7DCE"/>
    <w:rsid w:val="008162A9"/>
    <w:rsid w:val="008370BB"/>
    <w:rsid w:val="008447D0"/>
    <w:rsid w:val="008B1020"/>
    <w:rsid w:val="008C6AFB"/>
    <w:rsid w:val="008F01D0"/>
    <w:rsid w:val="009101A3"/>
    <w:rsid w:val="0091290C"/>
    <w:rsid w:val="00924093"/>
    <w:rsid w:val="00924F9E"/>
    <w:rsid w:val="0095027B"/>
    <w:rsid w:val="009614BF"/>
    <w:rsid w:val="00982A6D"/>
    <w:rsid w:val="00986DF9"/>
    <w:rsid w:val="009A4DFE"/>
    <w:rsid w:val="009A519D"/>
    <w:rsid w:val="009F5335"/>
    <w:rsid w:val="00A31C3C"/>
    <w:rsid w:val="00AB680E"/>
    <w:rsid w:val="00AC10EA"/>
    <w:rsid w:val="00AF4C8B"/>
    <w:rsid w:val="00B02A4C"/>
    <w:rsid w:val="00B127A9"/>
    <w:rsid w:val="00B21B99"/>
    <w:rsid w:val="00B46E64"/>
    <w:rsid w:val="00B52687"/>
    <w:rsid w:val="00B52CB8"/>
    <w:rsid w:val="00B86AE8"/>
    <w:rsid w:val="00B93107"/>
    <w:rsid w:val="00BA1272"/>
    <w:rsid w:val="00BB2285"/>
    <w:rsid w:val="00BD585C"/>
    <w:rsid w:val="00C00F60"/>
    <w:rsid w:val="00C42B9C"/>
    <w:rsid w:val="00C4378B"/>
    <w:rsid w:val="00C506D3"/>
    <w:rsid w:val="00C60C96"/>
    <w:rsid w:val="00C805EB"/>
    <w:rsid w:val="00CA03EF"/>
    <w:rsid w:val="00CB2385"/>
    <w:rsid w:val="00CC6AE5"/>
    <w:rsid w:val="00CD51F0"/>
    <w:rsid w:val="00D03FBE"/>
    <w:rsid w:val="00D212BA"/>
    <w:rsid w:val="00D30B0D"/>
    <w:rsid w:val="00D9537B"/>
    <w:rsid w:val="00D97303"/>
    <w:rsid w:val="00DA1508"/>
    <w:rsid w:val="00DB640F"/>
    <w:rsid w:val="00DC1C11"/>
    <w:rsid w:val="00DC40EA"/>
    <w:rsid w:val="00DD5352"/>
    <w:rsid w:val="00DE5BCC"/>
    <w:rsid w:val="00E015B5"/>
    <w:rsid w:val="00E330CE"/>
    <w:rsid w:val="00E426E3"/>
    <w:rsid w:val="00E678F5"/>
    <w:rsid w:val="00EB4A5A"/>
    <w:rsid w:val="00F072C0"/>
    <w:rsid w:val="00F11792"/>
    <w:rsid w:val="00F405AB"/>
    <w:rsid w:val="00F51EE6"/>
    <w:rsid w:val="00F90BD3"/>
    <w:rsid w:val="00FC3399"/>
    <w:rsid w:val="00FE6CA5"/>
    <w:rsid w:val="00FF5C16"/>
    <w:rsid w:val="043E7FCE"/>
    <w:rsid w:val="04AE367F"/>
    <w:rsid w:val="076D18CD"/>
    <w:rsid w:val="08B553DA"/>
    <w:rsid w:val="0CEC7AB2"/>
    <w:rsid w:val="0E442AA9"/>
    <w:rsid w:val="10B237DF"/>
    <w:rsid w:val="12117916"/>
    <w:rsid w:val="13392385"/>
    <w:rsid w:val="156B1131"/>
    <w:rsid w:val="169959F8"/>
    <w:rsid w:val="16E41FC1"/>
    <w:rsid w:val="17991F6C"/>
    <w:rsid w:val="180B332E"/>
    <w:rsid w:val="19392E3F"/>
    <w:rsid w:val="199926F8"/>
    <w:rsid w:val="19C0454E"/>
    <w:rsid w:val="1A8C17EE"/>
    <w:rsid w:val="1BD55D0E"/>
    <w:rsid w:val="1DB93368"/>
    <w:rsid w:val="20571C5D"/>
    <w:rsid w:val="21DD259B"/>
    <w:rsid w:val="22E542B8"/>
    <w:rsid w:val="25BA7B2A"/>
    <w:rsid w:val="26870670"/>
    <w:rsid w:val="26F465AD"/>
    <w:rsid w:val="270B69AB"/>
    <w:rsid w:val="277E2177"/>
    <w:rsid w:val="27DC212D"/>
    <w:rsid w:val="29140534"/>
    <w:rsid w:val="2A452D3E"/>
    <w:rsid w:val="2A9D28DE"/>
    <w:rsid w:val="2C55425C"/>
    <w:rsid w:val="2D564730"/>
    <w:rsid w:val="2E67296D"/>
    <w:rsid w:val="31305298"/>
    <w:rsid w:val="31E83DC4"/>
    <w:rsid w:val="33B3571B"/>
    <w:rsid w:val="340071A3"/>
    <w:rsid w:val="349854B9"/>
    <w:rsid w:val="352B40C3"/>
    <w:rsid w:val="368B614A"/>
    <w:rsid w:val="378578B7"/>
    <w:rsid w:val="3C1A6612"/>
    <w:rsid w:val="3C241E9D"/>
    <w:rsid w:val="3C623D88"/>
    <w:rsid w:val="3C867C64"/>
    <w:rsid w:val="3D723C7A"/>
    <w:rsid w:val="3E6D7B2B"/>
    <w:rsid w:val="40AF442B"/>
    <w:rsid w:val="41195D48"/>
    <w:rsid w:val="41D869DB"/>
    <w:rsid w:val="455D409D"/>
    <w:rsid w:val="46902940"/>
    <w:rsid w:val="46EF1FD2"/>
    <w:rsid w:val="4922566A"/>
    <w:rsid w:val="4A1D1CE5"/>
    <w:rsid w:val="4A2C629B"/>
    <w:rsid w:val="4BBE19C6"/>
    <w:rsid w:val="4D427FE8"/>
    <w:rsid w:val="4D7F33D7"/>
    <w:rsid w:val="4E6B1B02"/>
    <w:rsid w:val="4F044E1F"/>
    <w:rsid w:val="5248054A"/>
    <w:rsid w:val="52D444EE"/>
    <w:rsid w:val="55AF412E"/>
    <w:rsid w:val="564D0332"/>
    <w:rsid w:val="56AB1C34"/>
    <w:rsid w:val="5BA77EDE"/>
    <w:rsid w:val="5DEC23C3"/>
    <w:rsid w:val="5E195593"/>
    <w:rsid w:val="60061A45"/>
    <w:rsid w:val="623C4D29"/>
    <w:rsid w:val="6316024E"/>
    <w:rsid w:val="6464424D"/>
    <w:rsid w:val="65883653"/>
    <w:rsid w:val="677D4E74"/>
    <w:rsid w:val="68864C4E"/>
    <w:rsid w:val="6AD77F57"/>
    <w:rsid w:val="6C2F25DF"/>
    <w:rsid w:val="6CE60925"/>
    <w:rsid w:val="6D92308B"/>
    <w:rsid w:val="71833A0B"/>
    <w:rsid w:val="7420471D"/>
    <w:rsid w:val="7AEC5358"/>
    <w:rsid w:val="7B0326A2"/>
    <w:rsid w:val="7C911ED9"/>
    <w:rsid w:val="7CBE4AD3"/>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07DBB"/>
  <w15:docId w15:val="{CCC0F2DB-2D63-4FCD-8D06-267FE3A1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Emphasis"/>
    <w:basedOn w:val="a0"/>
    <w:uiPriority w:val="20"/>
    <w:qFormat/>
    <w:rPr>
      <w:i/>
      <w:iCs/>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381</Words>
  <Characters>2172</Characters>
  <Application>Microsoft Office Word</Application>
  <DocSecurity>0</DocSecurity>
  <Lines>18</Lines>
  <Paragraphs>5</Paragraphs>
  <ScaleCrop>false</ScaleCrop>
  <Company>Microsoft</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52</cp:revision>
  <cp:lastPrinted>2022-04-07T01:51:00Z</cp:lastPrinted>
  <dcterms:created xsi:type="dcterms:W3CDTF">2020-05-17T06:41:00Z</dcterms:created>
  <dcterms:modified xsi:type="dcterms:W3CDTF">2022-09-04T05:05:00Z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ADAC6B2A5DA240B39D3D1E86711FC575</vt:lpwstr>
  </property>
</Properties>
</file>